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09E" w:rsidRPr="0010597E" w:rsidRDefault="009E109E" w:rsidP="002A7602">
      <w:pPr>
        <w:spacing w:line="276" w:lineRule="auto"/>
        <w:ind w:left="6372"/>
        <w:rPr>
          <w:rFonts w:ascii="Arial" w:hAnsi="Arial" w:cs="Arial"/>
          <w:b/>
          <w:bCs/>
        </w:rPr>
      </w:pPr>
      <w:r w:rsidRPr="0010597E">
        <w:rPr>
          <w:rFonts w:ascii="Arial" w:hAnsi="Arial" w:cs="Arial"/>
          <w:b/>
          <w:bCs/>
        </w:rPr>
        <w:t>Załącznik nr 2 do SWZ</w:t>
      </w:r>
    </w:p>
    <w:p w:rsidR="00CA4D80" w:rsidRPr="001E5BC1" w:rsidRDefault="00CA4D80" w:rsidP="00CA4D80">
      <w:pPr>
        <w:spacing w:line="276" w:lineRule="auto"/>
        <w:jc w:val="left"/>
        <w:rPr>
          <w:rFonts w:eastAsia="Calibri"/>
          <w:sz w:val="18"/>
          <w:szCs w:val="18"/>
        </w:rPr>
      </w:pPr>
      <w:r w:rsidRPr="001E5BC1">
        <w:rPr>
          <w:rFonts w:eastAsia="Calibri"/>
          <w:sz w:val="18"/>
          <w:szCs w:val="18"/>
        </w:rPr>
        <w:t>Nazwa Wykonawcy / Wykonawców</w:t>
      </w:r>
    </w:p>
    <w:p w:rsidR="00CA4D80" w:rsidRPr="001E5BC1" w:rsidRDefault="00CA4D80" w:rsidP="00CA4D80">
      <w:pPr>
        <w:spacing w:line="276" w:lineRule="auto"/>
        <w:jc w:val="left"/>
        <w:rPr>
          <w:rFonts w:eastAsia="Calibri"/>
          <w:sz w:val="18"/>
          <w:szCs w:val="18"/>
        </w:rPr>
      </w:pPr>
      <w:r w:rsidRPr="001E5BC1">
        <w:rPr>
          <w:rFonts w:eastAsia="Calibri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:rsidR="00CA4D80" w:rsidRPr="001E5BC1" w:rsidRDefault="00CA4D80" w:rsidP="00CA4D80">
      <w:pPr>
        <w:spacing w:line="276" w:lineRule="auto"/>
        <w:rPr>
          <w:rFonts w:eastAsia="Calibri"/>
          <w:b/>
          <w:color w:val="1F497D"/>
          <w:sz w:val="18"/>
          <w:szCs w:val="18"/>
        </w:rPr>
      </w:pPr>
      <w:r w:rsidRPr="001E5BC1">
        <w:rPr>
          <w:rFonts w:eastAsia="Calibri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:rsidR="000B2E34" w:rsidRPr="001E5BC1" w:rsidRDefault="000B2E34" w:rsidP="00CA4D80">
      <w:pPr>
        <w:spacing w:line="276" w:lineRule="auto"/>
        <w:rPr>
          <w:rFonts w:eastAsia="Calibri"/>
          <w:b/>
          <w:sz w:val="18"/>
          <w:szCs w:val="18"/>
        </w:rPr>
      </w:pPr>
      <w:r w:rsidRPr="001E5BC1">
        <w:rPr>
          <w:rFonts w:eastAsia="Calibri"/>
          <w:sz w:val="18"/>
          <w:szCs w:val="18"/>
        </w:rPr>
        <w:t>Adres:</w:t>
      </w:r>
      <w:r w:rsidRPr="001E5BC1">
        <w:rPr>
          <w:rFonts w:eastAsia="Calibri"/>
          <w:b/>
          <w:sz w:val="18"/>
          <w:szCs w:val="18"/>
        </w:rPr>
        <w:t xml:space="preserve"> ……………………………………………………………………………………………….</w:t>
      </w:r>
    </w:p>
    <w:p w:rsidR="000B2E34" w:rsidRPr="001E5BC1" w:rsidRDefault="000B2E34" w:rsidP="00CA4D80">
      <w:pPr>
        <w:spacing w:line="276" w:lineRule="auto"/>
        <w:rPr>
          <w:rFonts w:eastAsia="Calibri"/>
          <w:b/>
          <w:sz w:val="18"/>
          <w:szCs w:val="18"/>
        </w:rPr>
      </w:pPr>
      <w:r w:rsidRPr="001E5BC1">
        <w:rPr>
          <w:rFonts w:eastAsia="Calibri"/>
          <w:b/>
          <w:sz w:val="18"/>
          <w:szCs w:val="18"/>
        </w:rPr>
        <w:t>…………………………………………………………………………………………………………</w:t>
      </w:r>
    </w:p>
    <w:p w:rsidR="00732C83" w:rsidRPr="001E5BC1" w:rsidRDefault="00732C83" w:rsidP="00732C83">
      <w:pPr>
        <w:pStyle w:val="ust"/>
        <w:shd w:val="clear" w:color="auto" w:fill="ECECE1"/>
        <w:spacing w:before="0" w:after="0" w:line="276" w:lineRule="auto"/>
        <w:ind w:left="0" w:firstLine="0"/>
        <w:jc w:val="center"/>
      </w:pPr>
      <w:r w:rsidRPr="001E5BC1">
        <w:rPr>
          <w:b/>
          <w:bCs/>
        </w:rPr>
        <w:t>WYMAGANE PARAMETRY TECHNICZNE, FUNKCJONALNE I UŻYTKOWE</w:t>
      </w:r>
    </w:p>
    <w:p w:rsidR="00732C83" w:rsidRPr="001E5BC1" w:rsidRDefault="00732C83" w:rsidP="00CA4D80">
      <w:pPr>
        <w:pStyle w:val="ust"/>
        <w:spacing w:before="0" w:after="0" w:line="276" w:lineRule="auto"/>
        <w:ind w:left="0" w:firstLine="0"/>
        <w:jc w:val="center"/>
      </w:pPr>
    </w:p>
    <w:p w:rsidR="00CA4D80" w:rsidRPr="001E5BC1" w:rsidRDefault="00CA4D80" w:rsidP="00CA4D80">
      <w:pPr>
        <w:pStyle w:val="ust"/>
        <w:spacing w:before="0" w:after="0" w:line="276" w:lineRule="auto"/>
        <w:ind w:left="0" w:firstLine="0"/>
        <w:jc w:val="center"/>
      </w:pPr>
      <w:r w:rsidRPr="001E5BC1">
        <w:t xml:space="preserve">Dotyczy postępowania </w:t>
      </w:r>
      <w:proofErr w:type="spellStart"/>
      <w:r w:rsidRPr="001E5BC1">
        <w:t>pn</w:t>
      </w:r>
      <w:proofErr w:type="spellEnd"/>
      <w:r w:rsidRPr="001E5BC1">
        <w:t>:</w:t>
      </w:r>
    </w:p>
    <w:p w:rsidR="00325F72" w:rsidRPr="0010597E" w:rsidRDefault="00325F72" w:rsidP="00CA4D80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</w:p>
    <w:tbl>
      <w:tblPr>
        <w:tblStyle w:val="Tabela-Siatka"/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709"/>
        <w:gridCol w:w="1310"/>
        <w:gridCol w:w="4302"/>
        <w:gridCol w:w="710"/>
        <w:gridCol w:w="700"/>
      </w:tblGrid>
      <w:tr w:rsidR="00C26CE4" w:rsidRPr="0010597E" w:rsidTr="00A92F29">
        <w:tc>
          <w:tcPr>
            <w:tcW w:w="3589" w:type="dxa"/>
            <w:gridSpan w:val="3"/>
            <w:shd w:val="clear" w:color="auto" w:fill="FFFFFF" w:themeFill="background1"/>
            <w:vAlign w:val="center"/>
          </w:tcPr>
          <w:p w:rsidR="00C26CE4" w:rsidRPr="0010597E" w:rsidRDefault="00C26CE4" w:rsidP="005A0D9A">
            <w:pPr>
              <w:jc w:val="center"/>
              <w:rPr>
                <w:rFonts w:cs="Arial"/>
                <w:b/>
                <w:bCs/>
                <w:lang w:val="pl-PL"/>
              </w:rPr>
            </w:pPr>
            <w:r w:rsidRPr="0010597E">
              <w:rPr>
                <w:b/>
                <w:lang w:val="pl-PL"/>
              </w:rPr>
              <w:t>Nazwa postępowania</w:t>
            </w:r>
          </w:p>
        </w:tc>
        <w:tc>
          <w:tcPr>
            <w:tcW w:w="5712" w:type="dxa"/>
            <w:gridSpan w:val="3"/>
            <w:shd w:val="clear" w:color="auto" w:fill="FFFFFF" w:themeFill="background1"/>
            <w:vAlign w:val="center"/>
          </w:tcPr>
          <w:p w:rsidR="00C26CE4" w:rsidRPr="0010597E" w:rsidRDefault="00914EA5" w:rsidP="005A0D9A">
            <w:pPr>
              <w:jc w:val="center"/>
              <w:rPr>
                <w:b/>
                <w:bCs/>
                <w:lang w:val="pl-PL"/>
              </w:rPr>
            </w:pPr>
            <w:r w:rsidRPr="00914EA5">
              <w:rPr>
                <w:b/>
                <w:lang w:val="pl-PL"/>
              </w:rPr>
              <w:t>Zakup wraz z dostawą systemu serwerowego dla Uniwersyteckiego Centrum Wsparcia Badań Klinicznych</w:t>
            </w:r>
          </w:p>
        </w:tc>
      </w:tr>
      <w:tr w:rsidR="00C26CE4" w:rsidRPr="0010597E" w:rsidTr="00A92F29">
        <w:trPr>
          <w:tblHeader/>
        </w:trPr>
        <w:tc>
          <w:tcPr>
            <w:tcW w:w="3589" w:type="dxa"/>
            <w:gridSpan w:val="3"/>
            <w:shd w:val="clear" w:color="auto" w:fill="FFFFFF" w:themeFill="background1"/>
            <w:vAlign w:val="center"/>
          </w:tcPr>
          <w:p w:rsidR="00C26CE4" w:rsidRPr="0010597E" w:rsidRDefault="00C26CE4" w:rsidP="005A0D9A">
            <w:pPr>
              <w:jc w:val="center"/>
              <w:rPr>
                <w:rFonts w:cs="Arial"/>
                <w:b/>
                <w:bCs/>
                <w:lang w:val="pl-PL"/>
              </w:rPr>
            </w:pPr>
            <w:r w:rsidRPr="0010597E">
              <w:rPr>
                <w:b/>
                <w:lang w:val="pl-PL"/>
              </w:rPr>
              <w:t>Znak sprawy</w:t>
            </w:r>
          </w:p>
        </w:tc>
        <w:tc>
          <w:tcPr>
            <w:tcW w:w="5712" w:type="dxa"/>
            <w:gridSpan w:val="3"/>
            <w:shd w:val="clear" w:color="auto" w:fill="FFFFFF" w:themeFill="background1"/>
            <w:vAlign w:val="center"/>
          </w:tcPr>
          <w:p w:rsidR="00C26CE4" w:rsidRPr="0010597E" w:rsidRDefault="00C26CE4" w:rsidP="005A0D9A">
            <w:pPr>
              <w:jc w:val="center"/>
              <w:rPr>
                <w:b/>
                <w:bCs/>
                <w:lang w:val="pl-PL"/>
              </w:rPr>
            </w:pPr>
            <w:r w:rsidRPr="0010597E">
              <w:rPr>
                <w:b/>
                <w:lang w:val="pl-PL"/>
              </w:rPr>
              <w:t>33-DICM.261.</w:t>
            </w:r>
            <w:r w:rsidR="00914EA5">
              <w:rPr>
                <w:b/>
                <w:lang w:val="pl-PL"/>
              </w:rPr>
              <w:t>6</w:t>
            </w:r>
            <w:r w:rsidRPr="0010597E">
              <w:rPr>
                <w:b/>
                <w:lang w:val="pl-PL"/>
              </w:rPr>
              <w:t>.2025</w:t>
            </w:r>
          </w:p>
        </w:tc>
      </w:tr>
      <w:tr w:rsidR="00C26CE4" w:rsidRPr="0010597E" w:rsidTr="008E33DF">
        <w:trPr>
          <w:cantSplit/>
          <w:trHeight w:val="1552"/>
          <w:tblHeader/>
        </w:trPr>
        <w:tc>
          <w:tcPr>
            <w:tcW w:w="570" w:type="dxa"/>
            <w:shd w:val="clear" w:color="auto" w:fill="FFFFFF" w:themeFill="background1"/>
            <w:vAlign w:val="center"/>
          </w:tcPr>
          <w:p w:rsidR="00E347DF" w:rsidRPr="0010597E" w:rsidRDefault="00E347DF" w:rsidP="00A92F29">
            <w:pPr>
              <w:rPr>
                <w:rFonts w:cs="Arial"/>
                <w:b/>
                <w:bCs/>
                <w:lang w:val="pl-PL"/>
              </w:rPr>
            </w:pPr>
            <w:r w:rsidRPr="0010597E">
              <w:rPr>
                <w:b/>
                <w:lang w:val="pl-PL"/>
              </w:rPr>
              <w:t>Lp.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E347DF" w:rsidRPr="0010597E" w:rsidRDefault="00E347DF" w:rsidP="000A520E">
            <w:pPr>
              <w:jc w:val="center"/>
              <w:rPr>
                <w:b/>
                <w:bCs/>
                <w:lang w:val="pl-PL"/>
              </w:rPr>
            </w:pPr>
            <w:r w:rsidRPr="0010597E">
              <w:rPr>
                <w:b/>
                <w:lang w:val="pl-PL"/>
              </w:rPr>
              <w:t>Szczegółowy opis wymaganych parametrów technicznych, funkcjonalnych i użytkowych przedmiotu zamówienia</w:t>
            </w:r>
          </w:p>
        </w:tc>
        <w:tc>
          <w:tcPr>
            <w:tcW w:w="710" w:type="dxa"/>
            <w:shd w:val="clear" w:color="auto" w:fill="FFFFFF" w:themeFill="background1"/>
            <w:textDirection w:val="btLr"/>
            <w:vAlign w:val="center"/>
          </w:tcPr>
          <w:p w:rsidR="00E347DF" w:rsidRPr="0010597E" w:rsidRDefault="00E347DF" w:rsidP="00A92F29">
            <w:pPr>
              <w:ind w:left="113" w:right="113"/>
              <w:rPr>
                <w:b/>
                <w:lang w:val="pl-PL"/>
              </w:rPr>
            </w:pPr>
            <w:r w:rsidRPr="0010597E">
              <w:rPr>
                <w:b/>
                <w:lang w:val="pl-PL"/>
              </w:rPr>
              <w:t>Parametr wymagany</w:t>
            </w:r>
          </w:p>
        </w:tc>
        <w:tc>
          <w:tcPr>
            <w:tcW w:w="700" w:type="dxa"/>
            <w:shd w:val="clear" w:color="auto" w:fill="FFFFFF" w:themeFill="background1"/>
            <w:textDirection w:val="btLr"/>
            <w:vAlign w:val="center"/>
          </w:tcPr>
          <w:p w:rsidR="00E347DF" w:rsidRPr="0010597E" w:rsidRDefault="00E347DF" w:rsidP="00A92F29">
            <w:pPr>
              <w:ind w:left="113" w:right="113"/>
              <w:rPr>
                <w:b/>
                <w:lang w:val="pl-PL"/>
              </w:rPr>
            </w:pPr>
            <w:r w:rsidRPr="0010597E">
              <w:rPr>
                <w:b/>
                <w:lang w:val="pl-PL"/>
              </w:rPr>
              <w:t>Parametr oferowany*</w:t>
            </w:r>
          </w:p>
        </w:tc>
      </w:tr>
      <w:tr w:rsidR="00E347DF" w:rsidRPr="0010597E" w:rsidTr="008E33DF">
        <w:trPr>
          <w:tblHeader/>
        </w:trPr>
        <w:tc>
          <w:tcPr>
            <w:tcW w:w="570" w:type="dxa"/>
            <w:shd w:val="clear" w:color="auto" w:fill="FFFFFF" w:themeFill="background1"/>
          </w:tcPr>
          <w:p w:rsidR="00E347DF" w:rsidRPr="0010597E" w:rsidRDefault="00E347DF" w:rsidP="005A0D9A">
            <w:pPr>
              <w:jc w:val="center"/>
              <w:rPr>
                <w:rFonts w:cs="Arial"/>
                <w:b/>
                <w:bCs/>
                <w:lang w:val="pl-PL"/>
              </w:rPr>
            </w:pPr>
            <w:r w:rsidRPr="0010597E">
              <w:rPr>
                <w:rFonts w:cs="Arial"/>
                <w:b/>
                <w:bCs/>
                <w:lang w:val="pl-PL"/>
              </w:rPr>
              <w:t>a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E347DF" w:rsidRPr="0010597E" w:rsidRDefault="00E347DF" w:rsidP="005A0D9A">
            <w:pPr>
              <w:jc w:val="center"/>
              <w:rPr>
                <w:b/>
                <w:szCs w:val="24"/>
                <w:lang w:val="pl-PL"/>
              </w:rPr>
            </w:pPr>
            <w:r w:rsidRPr="0010597E">
              <w:rPr>
                <w:b/>
                <w:szCs w:val="24"/>
                <w:lang w:val="pl-PL"/>
              </w:rPr>
              <w:t>b</w:t>
            </w:r>
          </w:p>
        </w:tc>
        <w:tc>
          <w:tcPr>
            <w:tcW w:w="710" w:type="dxa"/>
            <w:shd w:val="clear" w:color="auto" w:fill="FFFFFF" w:themeFill="background1"/>
          </w:tcPr>
          <w:p w:rsidR="00E347DF" w:rsidRPr="0010597E" w:rsidRDefault="00E347DF" w:rsidP="005A0D9A">
            <w:pPr>
              <w:jc w:val="center"/>
              <w:rPr>
                <w:b/>
                <w:lang w:val="pl-PL"/>
              </w:rPr>
            </w:pPr>
            <w:r w:rsidRPr="0010597E">
              <w:rPr>
                <w:b/>
                <w:lang w:val="pl-PL"/>
              </w:rPr>
              <w:t>c</w:t>
            </w:r>
          </w:p>
        </w:tc>
        <w:tc>
          <w:tcPr>
            <w:tcW w:w="700" w:type="dxa"/>
            <w:shd w:val="clear" w:color="auto" w:fill="FFFFFF" w:themeFill="background1"/>
          </w:tcPr>
          <w:p w:rsidR="00E347DF" w:rsidRPr="0010597E" w:rsidRDefault="00E347DF" w:rsidP="005A0D9A">
            <w:pPr>
              <w:jc w:val="center"/>
              <w:rPr>
                <w:b/>
                <w:lang w:val="pl-PL"/>
              </w:rPr>
            </w:pPr>
            <w:r w:rsidRPr="0010597E">
              <w:rPr>
                <w:b/>
                <w:lang w:val="pl-PL"/>
              </w:rPr>
              <w:t>d</w:t>
            </w:r>
          </w:p>
        </w:tc>
      </w:tr>
      <w:tr w:rsidR="00E347DF" w:rsidRPr="0010597E" w:rsidTr="00736BCA">
        <w:tc>
          <w:tcPr>
            <w:tcW w:w="570" w:type="dxa"/>
            <w:shd w:val="clear" w:color="auto" w:fill="D0CECE" w:themeFill="background2" w:themeFillShade="E6"/>
          </w:tcPr>
          <w:p w:rsidR="00E347DF" w:rsidRPr="0010597E" w:rsidRDefault="00E347DF" w:rsidP="005A0D9A">
            <w:pPr>
              <w:jc w:val="center"/>
              <w:rPr>
                <w:rFonts w:cs="Arial"/>
                <w:b/>
                <w:bCs/>
                <w:lang w:val="pl-PL"/>
              </w:rPr>
            </w:pPr>
            <w:r w:rsidRPr="0010597E">
              <w:rPr>
                <w:rFonts w:cs="Arial"/>
                <w:b/>
                <w:bCs/>
                <w:lang w:val="pl-PL"/>
              </w:rPr>
              <w:t>I</w:t>
            </w:r>
          </w:p>
        </w:tc>
        <w:tc>
          <w:tcPr>
            <w:tcW w:w="8731" w:type="dxa"/>
            <w:gridSpan w:val="5"/>
            <w:shd w:val="clear" w:color="auto" w:fill="D0CECE" w:themeFill="background2" w:themeFillShade="E6"/>
            <w:vAlign w:val="center"/>
          </w:tcPr>
          <w:p w:rsidR="00E347DF" w:rsidRPr="0010597E" w:rsidRDefault="00E347DF" w:rsidP="005A0D9A">
            <w:pPr>
              <w:jc w:val="left"/>
              <w:rPr>
                <w:b/>
                <w:bCs/>
                <w:lang w:val="pl-PL"/>
              </w:rPr>
            </w:pPr>
            <w:r w:rsidRPr="0010597E">
              <w:rPr>
                <w:b/>
                <w:bCs/>
                <w:lang w:val="pl-PL"/>
              </w:rPr>
              <w:t>Serwer - 2 szt.</w:t>
            </w:r>
          </w:p>
        </w:tc>
      </w:tr>
      <w:tr w:rsidR="00301FDD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301FDD" w:rsidP="00736BCA">
            <w:pPr>
              <w:jc w:val="center"/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1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jc w:val="left"/>
              <w:rPr>
                <w:b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Obudowa </w:t>
            </w:r>
          </w:p>
        </w:tc>
        <w:tc>
          <w:tcPr>
            <w:tcW w:w="5612" w:type="dxa"/>
            <w:gridSpan w:val="2"/>
            <w:shd w:val="clear" w:color="auto" w:fill="FFFFFF" w:themeFill="background1"/>
            <w:vAlign w:val="center"/>
          </w:tcPr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Obudowa </w:t>
            </w:r>
            <w:proofErr w:type="spellStart"/>
            <w:r w:rsidRPr="00A13FF9">
              <w:rPr>
                <w:bCs/>
                <w:szCs w:val="24"/>
                <w:lang w:val="pl-PL"/>
              </w:rPr>
              <w:t>rack</w:t>
            </w:r>
            <w:proofErr w:type="spellEnd"/>
            <w:r w:rsidRPr="00A13FF9">
              <w:rPr>
                <w:bCs/>
                <w:szCs w:val="24"/>
                <w:lang w:val="pl-PL"/>
              </w:rPr>
              <w:t xml:space="preserve"> o wysokości maksymalnie 1U. Obudowa musi umożliwiać instalację min. 8 dysków SFF SATA/SAS/</w:t>
            </w:r>
            <w:proofErr w:type="spellStart"/>
            <w:r w:rsidRPr="00A13FF9">
              <w:rPr>
                <w:bCs/>
                <w:szCs w:val="24"/>
                <w:lang w:val="pl-PL"/>
              </w:rPr>
              <w:t>NVMe</w:t>
            </w:r>
            <w:proofErr w:type="spellEnd"/>
            <w:r w:rsidRPr="00A13FF9">
              <w:rPr>
                <w:bCs/>
                <w:szCs w:val="24"/>
                <w:lang w:val="pl-PL"/>
              </w:rPr>
              <w:t xml:space="preserve"> 2,5”. Serwer wraz z kompletem wysuwanych szyn umożliwiających montaż w szafie </w:t>
            </w:r>
            <w:proofErr w:type="spellStart"/>
            <w:r w:rsidRPr="00A13FF9">
              <w:rPr>
                <w:bCs/>
                <w:szCs w:val="24"/>
                <w:lang w:val="pl-PL"/>
              </w:rPr>
              <w:t>rack</w:t>
            </w:r>
            <w:proofErr w:type="spellEnd"/>
            <w:r w:rsidRPr="00A13FF9">
              <w:rPr>
                <w:bCs/>
                <w:szCs w:val="24"/>
                <w:lang w:val="pl-PL"/>
              </w:rPr>
              <w:t xml:space="preserve"> i wysuwanie serwera do celów serwisowych.</w:t>
            </w:r>
          </w:p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Serwer z zainstalowanym, zdejmowanym panelem przednim z możliwością instalacji zamka chroniącego przed nieuprawionym dostępem do dysków. Organizator tylni na kable.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jc w:val="left"/>
              <w:rPr>
                <w:bCs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301FDD" w:rsidP="00736BCA">
            <w:pPr>
              <w:jc w:val="center"/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2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jc w:val="left"/>
              <w:rPr>
                <w:b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Płyta główna </w:t>
            </w:r>
          </w:p>
        </w:tc>
        <w:tc>
          <w:tcPr>
            <w:tcW w:w="5612" w:type="dxa"/>
            <w:gridSpan w:val="2"/>
            <w:shd w:val="clear" w:color="auto" w:fill="FFFFFF" w:themeFill="background1"/>
            <w:vAlign w:val="center"/>
          </w:tcPr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Płyta główna z możliwością zainstalowania do dwóch procesorów. Płyta główna musi być zaprojektowana przez producenta serwera.</w:t>
            </w:r>
          </w:p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Płyta główna wspierająca zastosowanie procesorów od 8 do 144 rdzeni, mocy do min. 350W i taktowaniu CPU do min. 4.0GHz.</w:t>
            </w:r>
          </w:p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Płyta główna z minimum 32 slotami na pamięć i umożliwiająca instalację do minimum 8TB.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jc w:val="left"/>
              <w:rPr>
                <w:bCs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301FDD" w:rsidP="00736BCA">
            <w:pPr>
              <w:jc w:val="center"/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lastRenderedPageBreak/>
              <w:t>3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jc w:val="left"/>
              <w:rPr>
                <w:b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Procesor 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2 procesory, każdy 16-rdzeniowy z nominalną częstotliwością pracy 2.3 GHz, x86 - 64 bity, osiągające w testach SPECrate2017_int_base wynik nie gorszy niż 374 punktów w konfiguracji dwuprocesorowej dla oferowanego modelu serwera.</w:t>
            </w:r>
          </w:p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Wynik testu musi być opublikowany na stronie http://spec.org w dniu złożenia oferty 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jc w:val="left"/>
              <w:rPr>
                <w:bCs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301FDD" w:rsidP="00736BCA">
            <w:pPr>
              <w:jc w:val="center"/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4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jc w:val="left"/>
              <w:rPr>
                <w:b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Pamięć RAM 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301FDD" w:rsidRPr="00A13FF9" w:rsidRDefault="00301FDD" w:rsidP="00301FDD">
            <w:pPr>
              <w:jc w:val="left"/>
              <w:rPr>
                <w:bCs/>
                <w:szCs w:val="24"/>
              </w:rPr>
            </w:pPr>
            <w:r w:rsidRPr="00A13FF9">
              <w:rPr>
                <w:bCs/>
                <w:szCs w:val="24"/>
              </w:rPr>
              <w:t xml:space="preserve">256GB RAM DDR5 RDIMM 6400 MT/s. 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jc w:val="left"/>
              <w:rPr>
                <w:bCs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301FDD" w:rsidP="00736BCA">
            <w:pPr>
              <w:jc w:val="center"/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5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jc w:val="left"/>
              <w:rPr>
                <w:b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Zabezpieczenie pamięci </w:t>
            </w:r>
          </w:p>
        </w:tc>
        <w:tc>
          <w:tcPr>
            <w:tcW w:w="5612" w:type="dxa"/>
            <w:gridSpan w:val="2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jc w:val="left"/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Advanced ECC oraz Mirroring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jc w:val="left"/>
              <w:rPr>
                <w:bCs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301FDD" w:rsidP="00736BCA">
            <w:pPr>
              <w:jc w:val="center"/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6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jc w:val="left"/>
              <w:rPr>
                <w:bCs/>
                <w:szCs w:val="24"/>
                <w:lang w:val="pl-PL"/>
              </w:rPr>
            </w:pPr>
            <w:proofErr w:type="spellStart"/>
            <w:r w:rsidRPr="00A13FF9">
              <w:rPr>
                <w:bCs/>
                <w:szCs w:val="24"/>
                <w:lang w:val="pl-PL"/>
              </w:rPr>
              <w:t>Sloty</w:t>
            </w:r>
            <w:proofErr w:type="spellEnd"/>
            <w:r w:rsidRPr="00A13FF9">
              <w:rPr>
                <w:bCs/>
                <w:szCs w:val="24"/>
                <w:lang w:val="pl-PL"/>
              </w:rPr>
              <w:t xml:space="preserve"> rozszerzeń </w:t>
            </w:r>
          </w:p>
        </w:tc>
        <w:tc>
          <w:tcPr>
            <w:tcW w:w="5612" w:type="dxa"/>
            <w:gridSpan w:val="2"/>
            <w:shd w:val="clear" w:color="auto" w:fill="FFFFFF" w:themeFill="background1"/>
            <w:vAlign w:val="center"/>
          </w:tcPr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Min. 3 aktywne gniazda PCI-Express generacji 5, x16 (szybkość slotu – </w:t>
            </w:r>
            <w:proofErr w:type="spellStart"/>
            <w:r w:rsidRPr="00A13FF9">
              <w:rPr>
                <w:bCs/>
                <w:szCs w:val="24"/>
                <w:lang w:val="pl-PL"/>
              </w:rPr>
              <w:t>bus</w:t>
            </w:r>
            <w:proofErr w:type="spellEnd"/>
            <w:r w:rsidRPr="00A13FF9">
              <w:rPr>
                <w:bCs/>
                <w:szCs w:val="24"/>
                <w:lang w:val="pl-PL"/>
              </w:rPr>
              <w:t xml:space="preserve"> </w:t>
            </w:r>
            <w:proofErr w:type="spellStart"/>
            <w:r w:rsidRPr="00A13FF9">
              <w:rPr>
                <w:bCs/>
                <w:szCs w:val="24"/>
                <w:lang w:val="pl-PL"/>
              </w:rPr>
              <w:t>width</w:t>
            </w:r>
            <w:proofErr w:type="spellEnd"/>
            <w:r w:rsidRPr="00A13FF9">
              <w:rPr>
                <w:bCs/>
                <w:szCs w:val="24"/>
                <w:lang w:val="pl-PL"/>
              </w:rPr>
              <w:t xml:space="preserve">). </w:t>
            </w:r>
          </w:p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Dwa </w:t>
            </w:r>
            <w:proofErr w:type="spellStart"/>
            <w:r w:rsidRPr="00A13FF9">
              <w:rPr>
                <w:bCs/>
                <w:szCs w:val="24"/>
                <w:lang w:val="pl-PL"/>
              </w:rPr>
              <w:t>sloty</w:t>
            </w:r>
            <w:proofErr w:type="spellEnd"/>
            <w:r w:rsidRPr="00A13FF9">
              <w:rPr>
                <w:bCs/>
                <w:szCs w:val="24"/>
                <w:lang w:val="pl-PL"/>
              </w:rPr>
              <w:t xml:space="preserve"> OCP 3.0 możliwe do obsadzenia poprzez kontrolery sprzętowe dla dysków lub karty sieciowe w dowolnej konfiguracji.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jc w:val="left"/>
              <w:rPr>
                <w:bCs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301FDD" w:rsidP="00736BCA">
            <w:pPr>
              <w:jc w:val="center"/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7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jc w:val="left"/>
              <w:rPr>
                <w:b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Pamięć masowa 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Zainstalowane m</w:t>
            </w:r>
            <w:r w:rsidR="004C63F6">
              <w:rPr>
                <w:bCs/>
                <w:szCs w:val="24"/>
                <w:lang w:val="pl-PL"/>
              </w:rPr>
              <w:t>in. 2szt. dysków SSD SATA 480GB</w:t>
            </w:r>
          </w:p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Kontroler sprzętowy RAID, 4GB cache, podtrzymanie bateryjne, wspierane poziomy RAID 0,1,5,6,10,50,60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jc w:val="left"/>
              <w:rPr>
                <w:bCs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301FDD" w:rsidP="00736BCA">
            <w:pPr>
              <w:jc w:val="center"/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8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jc w:val="left"/>
              <w:rPr>
                <w:b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Wbudowane porty 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301FDD" w:rsidRPr="001E5BC1" w:rsidRDefault="00301FDD" w:rsidP="00301FDD">
            <w:pPr>
              <w:jc w:val="left"/>
              <w:rPr>
                <w:bCs/>
                <w:szCs w:val="24"/>
                <w:lang w:val="pl-PL"/>
              </w:rPr>
            </w:pPr>
            <w:r w:rsidRPr="001E5BC1">
              <w:rPr>
                <w:bCs/>
                <w:szCs w:val="24"/>
                <w:lang w:val="pl-PL"/>
              </w:rPr>
              <w:t>Minimum 1 port USB 3.2 oraz USB-C na przednim panelu serwera i 2 porty USB 3.2 z tyłu.</w:t>
            </w:r>
          </w:p>
          <w:p w:rsidR="00301FDD" w:rsidRPr="001E5BC1" w:rsidRDefault="00301FDD" w:rsidP="00301FDD">
            <w:pPr>
              <w:jc w:val="left"/>
              <w:rPr>
                <w:bCs/>
                <w:szCs w:val="24"/>
                <w:lang w:val="pl-PL"/>
              </w:rPr>
            </w:pPr>
            <w:r w:rsidRPr="001E5BC1">
              <w:rPr>
                <w:bCs/>
                <w:szCs w:val="24"/>
                <w:lang w:val="pl-PL"/>
              </w:rPr>
              <w:t>Możliwość rozbudowy/rekonfiguracji o:</w:t>
            </w:r>
          </w:p>
          <w:p w:rsidR="00301FDD" w:rsidRPr="001E5BC1" w:rsidRDefault="00301FDD" w:rsidP="00301FDD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1E5BC1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 xml:space="preserve">port szeregowy typu DB9/DE-9 (9 </w:t>
            </w:r>
            <w:proofErr w:type="spellStart"/>
            <w:r w:rsidRPr="001E5BC1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pinowy</w:t>
            </w:r>
            <w:proofErr w:type="spellEnd"/>
            <w:r w:rsidRPr="001E5BC1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), wyprowadzony na zewnątrz obudowy bez pośrednictwa portu USB/RJ45 oraz bez konieczności instalowania kart w slotach PCI-Express</w:t>
            </w:r>
          </w:p>
          <w:p w:rsidR="00301FDD" w:rsidRPr="001E5BC1" w:rsidRDefault="00301FDD" w:rsidP="00301FDD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1E5BC1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cyfrowy port video (Display Port lub HDMI), bez użycia przejściówek z portu VGA lub USB</w:t>
            </w:r>
          </w:p>
          <w:p w:rsidR="00301FDD" w:rsidRPr="00A13FF9" w:rsidRDefault="00301FDD" w:rsidP="00301FDD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Cs w:val="24"/>
                <w:lang w:val="pl-PL"/>
              </w:rPr>
            </w:pPr>
            <w:r w:rsidRPr="001E5BC1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wbudowany napęd DVD-RW.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jc w:val="left"/>
              <w:rPr>
                <w:bCs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301FDD" w:rsidP="00736BCA">
            <w:pPr>
              <w:jc w:val="center"/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9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jc w:val="left"/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Interfejsy sieciowe </w:t>
            </w:r>
          </w:p>
        </w:tc>
        <w:tc>
          <w:tcPr>
            <w:tcW w:w="5612" w:type="dxa"/>
            <w:gridSpan w:val="2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Zainstalowane i w pełni funkcjonalne karty sieciowe:</w:t>
            </w:r>
          </w:p>
          <w:p w:rsidR="00301FDD" w:rsidRPr="00A13FF9" w:rsidRDefault="00301FDD" w:rsidP="00301FDD">
            <w:pPr>
              <w:pStyle w:val="Default"/>
              <w:numPr>
                <w:ilvl w:val="1"/>
                <w:numId w:val="12"/>
              </w:numPr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 xml:space="preserve">2-portowa karta 10/25Gb SFP28 </w:t>
            </w:r>
          </w:p>
          <w:p w:rsidR="00301FDD" w:rsidRPr="00A13FF9" w:rsidRDefault="00301FDD" w:rsidP="00301FDD">
            <w:pPr>
              <w:pStyle w:val="Default"/>
              <w:numPr>
                <w:ilvl w:val="1"/>
                <w:numId w:val="12"/>
              </w:numPr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2-portowa karta 32Gb FC</w:t>
            </w:r>
          </w:p>
          <w:p w:rsidR="00301FDD" w:rsidRPr="00A13FF9" w:rsidRDefault="00301FDD" w:rsidP="00301FDD">
            <w:pPr>
              <w:pStyle w:val="Default"/>
              <w:numPr>
                <w:ilvl w:val="1"/>
                <w:numId w:val="12"/>
              </w:numPr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4-portowa karta 1Gb Base-T w slocie OCP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10597E">
              <w:rPr>
                <w:rFonts w:ascii="Times New Roman" w:hAnsi="Times New Roman" w:cs="Times New Roman"/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301FDD" w:rsidP="00736BCA">
            <w:pPr>
              <w:jc w:val="center"/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10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jc w:val="left"/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Moduły optyczne, okablowanie</w:t>
            </w:r>
          </w:p>
        </w:tc>
        <w:tc>
          <w:tcPr>
            <w:tcW w:w="5612" w:type="dxa"/>
            <w:gridSpan w:val="2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Do każdego z oferowanych serwerów należy dostarczyć:</w:t>
            </w:r>
          </w:p>
          <w:p w:rsidR="00301FDD" w:rsidRPr="00A13FF9" w:rsidRDefault="00301FDD" w:rsidP="00301FDD">
            <w:pPr>
              <w:pStyle w:val="Default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 xml:space="preserve">dwa moduły optyczne SFP28 WDM dual </w:t>
            </w:r>
            <w:proofErr w:type="spellStart"/>
            <w:r w:rsidRPr="00A13FF9">
              <w:rPr>
                <w:rFonts w:ascii="Times New Roman" w:hAnsi="Times New Roman" w:cs="Times New Roman"/>
                <w:lang w:val="pl-PL"/>
              </w:rPr>
              <w:t>rate</w:t>
            </w:r>
            <w:proofErr w:type="spellEnd"/>
            <w:r w:rsidRPr="00A13FF9">
              <w:rPr>
                <w:rFonts w:ascii="Times New Roman" w:hAnsi="Times New Roman" w:cs="Times New Roman"/>
                <w:lang w:val="pl-PL"/>
              </w:rPr>
              <w:t xml:space="preserve"> 10/25Gbit/s SM LC DFB umożliwiające  transmisję na odległość do 20km przy wykorzystaniu jednego włókna światłowodu </w:t>
            </w:r>
            <w:proofErr w:type="spellStart"/>
            <w:r w:rsidRPr="00A13FF9">
              <w:rPr>
                <w:rFonts w:ascii="Times New Roman" w:hAnsi="Times New Roman" w:cs="Times New Roman"/>
                <w:lang w:val="pl-PL"/>
              </w:rPr>
              <w:t>jednomodowego</w:t>
            </w:r>
            <w:proofErr w:type="spellEnd"/>
            <w:r w:rsidRPr="00A13FF9">
              <w:rPr>
                <w:rFonts w:ascii="Times New Roman" w:hAnsi="Times New Roman" w:cs="Times New Roman"/>
                <w:lang w:val="pl-PL"/>
              </w:rPr>
              <w:t xml:space="preserve"> – długości fali </w:t>
            </w:r>
            <w:proofErr w:type="spellStart"/>
            <w:r w:rsidRPr="00A13FF9">
              <w:rPr>
                <w:rFonts w:ascii="Times New Roman" w:hAnsi="Times New Roman" w:cs="Times New Roman"/>
                <w:lang w:val="pl-PL"/>
              </w:rPr>
              <w:t>Tx</w:t>
            </w:r>
            <w:proofErr w:type="spellEnd"/>
            <w:r w:rsidRPr="00A13FF9">
              <w:rPr>
                <w:rFonts w:ascii="Times New Roman" w:hAnsi="Times New Roman" w:cs="Times New Roman"/>
                <w:lang w:val="pl-PL"/>
              </w:rPr>
              <w:t xml:space="preserve"> 1330nm </w:t>
            </w:r>
            <w:proofErr w:type="spellStart"/>
            <w:r w:rsidRPr="00A13FF9">
              <w:rPr>
                <w:rFonts w:ascii="Times New Roman" w:hAnsi="Times New Roman" w:cs="Times New Roman"/>
                <w:lang w:val="pl-PL"/>
              </w:rPr>
              <w:t>Rx</w:t>
            </w:r>
            <w:proofErr w:type="spellEnd"/>
            <w:r w:rsidRPr="00A13FF9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A13FF9">
              <w:rPr>
                <w:rFonts w:ascii="Times New Roman" w:hAnsi="Times New Roman" w:cs="Times New Roman"/>
                <w:lang w:val="pl-PL"/>
              </w:rPr>
              <w:lastRenderedPageBreak/>
              <w:t xml:space="preserve">1270nm oraz </w:t>
            </w:r>
            <w:proofErr w:type="spellStart"/>
            <w:r w:rsidRPr="00A13FF9">
              <w:rPr>
                <w:rFonts w:ascii="Times New Roman" w:hAnsi="Times New Roman" w:cs="Times New Roman"/>
                <w:lang w:val="pl-PL"/>
              </w:rPr>
              <w:t>Tx</w:t>
            </w:r>
            <w:proofErr w:type="spellEnd"/>
            <w:r w:rsidRPr="00A13FF9">
              <w:rPr>
                <w:rFonts w:ascii="Times New Roman" w:hAnsi="Times New Roman" w:cs="Times New Roman"/>
                <w:lang w:val="pl-PL"/>
              </w:rPr>
              <w:t xml:space="preserve"> 1270nm </w:t>
            </w:r>
            <w:proofErr w:type="spellStart"/>
            <w:r w:rsidRPr="00A13FF9">
              <w:rPr>
                <w:rFonts w:ascii="Times New Roman" w:hAnsi="Times New Roman" w:cs="Times New Roman"/>
                <w:lang w:val="pl-PL"/>
              </w:rPr>
              <w:t>Rx</w:t>
            </w:r>
            <w:proofErr w:type="spellEnd"/>
            <w:r w:rsidRPr="00A13FF9">
              <w:rPr>
                <w:rFonts w:ascii="Times New Roman" w:hAnsi="Times New Roman" w:cs="Times New Roman"/>
                <w:lang w:val="pl-PL"/>
              </w:rPr>
              <w:t xml:space="preserve"> 1330nm.</w:t>
            </w:r>
            <w:r w:rsidRPr="00A13FF9">
              <w:rPr>
                <w:rFonts w:ascii="Times New Roman" w:hAnsi="Times New Roman" w:cs="Times New Roman"/>
                <w:lang w:val="pl-PL"/>
              </w:rPr>
              <w:br/>
              <w:t>Moduły optyczne muszą być kompatybilne z oferowanym serwerem.</w:t>
            </w:r>
            <w:r w:rsidRPr="00A13FF9">
              <w:rPr>
                <w:rFonts w:ascii="Times New Roman" w:hAnsi="Times New Roman" w:cs="Times New Roman"/>
                <w:lang w:val="pl-PL"/>
              </w:rPr>
              <w:br/>
            </w:r>
            <w:r w:rsidRPr="00A13FF9">
              <w:rPr>
                <w:rFonts w:ascii="Times New Roman" w:hAnsi="Times New Roman" w:cs="Times New Roman"/>
                <w:lang w:val="pl-PL"/>
              </w:rPr>
              <w:br/>
              <w:t xml:space="preserve">Zamawiający dopuszcza dostawę modułów optycznych typu Single </w:t>
            </w:r>
            <w:proofErr w:type="spellStart"/>
            <w:r w:rsidRPr="00A13FF9">
              <w:rPr>
                <w:rFonts w:ascii="Times New Roman" w:hAnsi="Times New Roman" w:cs="Times New Roman"/>
                <w:lang w:val="pl-PL"/>
              </w:rPr>
              <w:t>Rate</w:t>
            </w:r>
            <w:proofErr w:type="spellEnd"/>
            <w:r w:rsidRPr="00A13FF9">
              <w:rPr>
                <w:rFonts w:ascii="Times New Roman" w:hAnsi="Times New Roman" w:cs="Times New Roman"/>
                <w:lang w:val="pl-PL"/>
              </w:rPr>
              <w:t xml:space="preserve"> 10 </w:t>
            </w:r>
            <w:proofErr w:type="spellStart"/>
            <w:r w:rsidRPr="00A13FF9">
              <w:rPr>
                <w:rFonts w:ascii="Times New Roman" w:hAnsi="Times New Roman" w:cs="Times New Roman"/>
                <w:lang w:val="pl-PL"/>
              </w:rPr>
              <w:t>Gbit</w:t>
            </w:r>
            <w:proofErr w:type="spellEnd"/>
            <w:r w:rsidRPr="00A13FF9">
              <w:rPr>
                <w:rFonts w:ascii="Times New Roman" w:hAnsi="Times New Roman" w:cs="Times New Roman"/>
                <w:lang w:val="pl-PL"/>
              </w:rPr>
              <w:t xml:space="preserve">/s oraz Single </w:t>
            </w:r>
            <w:proofErr w:type="spellStart"/>
            <w:r w:rsidRPr="00A13FF9">
              <w:rPr>
                <w:rFonts w:ascii="Times New Roman" w:hAnsi="Times New Roman" w:cs="Times New Roman"/>
                <w:lang w:val="pl-PL"/>
              </w:rPr>
              <w:t>Rate</w:t>
            </w:r>
            <w:proofErr w:type="spellEnd"/>
            <w:r w:rsidRPr="00A13FF9">
              <w:rPr>
                <w:rFonts w:ascii="Times New Roman" w:hAnsi="Times New Roman" w:cs="Times New Roman"/>
                <w:lang w:val="pl-PL"/>
              </w:rPr>
              <w:t xml:space="preserve"> 25 </w:t>
            </w:r>
            <w:proofErr w:type="spellStart"/>
            <w:r w:rsidRPr="00A13FF9">
              <w:rPr>
                <w:rFonts w:ascii="Times New Roman" w:hAnsi="Times New Roman" w:cs="Times New Roman"/>
                <w:lang w:val="pl-PL"/>
              </w:rPr>
              <w:t>Gbit</w:t>
            </w:r>
            <w:proofErr w:type="spellEnd"/>
            <w:r w:rsidRPr="00A13FF9">
              <w:rPr>
                <w:rFonts w:ascii="Times New Roman" w:hAnsi="Times New Roman" w:cs="Times New Roman"/>
                <w:lang w:val="pl-PL"/>
              </w:rPr>
              <w:t>/s - łącznie czterech modułów optycznych (po dwa moduły dla każdej z wymaganych prędkości transmisji), pod warunkiem zachowania komplementarnych długości fali 1270nm oraz 1330nm.</w:t>
            </w:r>
          </w:p>
          <w:p w:rsidR="00301FDD" w:rsidRPr="00A13FF9" w:rsidRDefault="00301FDD" w:rsidP="00301FDD">
            <w:pPr>
              <w:pStyle w:val="Default"/>
              <w:ind w:left="720"/>
              <w:rPr>
                <w:rFonts w:ascii="Times New Roman" w:hAnsi="Times New Roman" w:cs="Times New Roman"/>
                <w:lang w:val="pl-PL"/>
              </w:rPr>
            </w:pPr>
          </w:p>
          <w:p w:rsidR="00301FDD" w:rsidRPr="00A13FF9" w:rsidRDefault="00301FDD" w:rsidP="00301FDD">
            <w:pPr>
              <w:pStyle w:val="Default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dwa moduły optyczne FC 32Gb SW</w:t>
            </w:r>
          </w:p>
          <w:p w:rsidR="00301FDD" w:rsidRPr="00A13FF9" w:rsidRDefault="00301FDD" w:rsidP="00301FDD">
            <w:pPr>
              <w:pStyle w:val="Default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 xml:space="preserve">dwa </w:t>
            </w:r>
            <w:proofErr w:type="spellStart"/>
            <w:r w:rsidRPr="00A13FF9">
              <w:rPr>
                <w:rFonts w:ascii="Times New Roman" w:hAnsi="Times New Roman" w:cs="Times New Roman"/>
                <w:lang w:val="pl-PL"/>
              </w:rPr>
              <w:t>patchcordy</w:t>
            </w:r>
            <w:proofErr w:type="spellEnd"/>
            <w:r w:rsidRPr="00A13FF9">
              <w:rPr>
                <w:rFonts w:ascii="Times New Roman" w:hAnsi="Times New Roman" w:cs="Times New Roman"/>
                <w:lang w:val="pl-PL"/>
              </w:rPr>
              <w:t xml:space="preserve"> światłowodowe LC/UPC-LC/UPC OM4 5m duplex</w:t>
            </w:r>
          </w:p>
          <w:p w:rsidR="00301FDD" w:rsidRPr="00A13FF9" w:rsidRDefault="00301FDD" w:rsidP="00301FDD">
            <w:pPr>
              <w:pStyle w:val="Defaul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proofErr w:type="spellStart"/>
            <w:r w:rsidRPr="00A13FF9">
              <w:rPr>
                <w:rFonts w:ascii="Times New Roman" w:hAnsi="Times New Roman" w:cs="Times New Roman"/>
              </w:rPr>
              <w:t>patchcord</w:t>
            </w:r>
            <w:proofErr w:type="spellEnd"/>
            <w:r w:rsidRPr="00A13FF9">
              <w:rPr>
                <w:rFonts w:ascii="Times New Roman" w:hAnsi="Times New Roman" w:cs="Times New Roman"/>
              </w:rPr>
              <w:t xml:space="preserve"> UTP </w:t>
            </w:r>
            <w:proofErr w:type="spellStart"/>
            <w:r w:rsidRPr="00A13FF9">
              <w:rPr>
                <w:rFonts w:ascii="Times New Roman" w:hAnsi="Times New Roman" w:cs="Times New Roman"/>
              </w:rPr>
              <w:t>kat</w:t>
            </w:r>
            <w:proofErr w:type="spellEnd"/>
            <w:r w:rsidRPr="00A13FF9">
              <w:rPr>
                <w:rFonts w:ascii="Times New Roman" w:hAnsi="Times New Roman" w:cs="Times New Roman"/>
              </w:rPr>
              <w:t xml:space="preserve"> 5E 5m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pStyle w:val="Default"/>
              <w:jc w:val="center"/>
              <w:rPr>
                <w:rFonts w:ascii="Times New Roman" w:hAnsi="Times New Roman" w:cs="Times New Roman"/>
                <w:bCs/>
                <w:lang w:val="pl-PL"/>
              </w:rPr>
            </w:pPr>
            <w:r>
              <w:rPr>
                <w:rFonts w:ascii="Times New Roman" w:hAnsi="Times New Roman" w:cs="Times New Roman"/>
                <w:bCs/>
                <w:lang w:val="pl-PL"/>
              </w:rPr>
              <w:lastRenderedPageBreak/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301FDD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11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Wentylatory</w:t>
            </w:r>
          </w:p>
        </w:tc>
        <w:tc>
          <w:tcPr>
            <w:tcW w:w="5612" w:type="dxa"/>
            <w:gridSpan w:val="2"/>
            <w:shd w:val="clear" w:color="auto" w:fill="FFFFFF" w:themeFill="background1"/>
            <w:vAlign w:val="center"/>
          </w:tcPr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Wentylatory wspierające wymianę Hot-</w:t>
            </w:r>
            <w:proofErr w:type="spellStart"/>
            <w:r w:rsidRPr="00A13FF9">
              <w:rPr>
                <w:bCs/>
                <w:szCs w:val="24"/>
                <w:lang w:val="pl-PL"/>
              </w:rPr>
              <w:t>Swap</w:t>
            </w:r>
            <w:proofErr w:type="spellEnd"/>
            <w:r w:rsidRPr="00A13FF9">
              <w:rPr>
                <w:bCs/>
                <w:szCs w:val="24"/>
                <w:lang w:val="pl-PL"/>
              </w:rPr>
              <w:t>, zamontowane nadmiarowo minimum N+1.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jc w:val="left"/>
              <w:rPr>
                <w:bCs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301FDD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12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Zasilanie</w:t>
            </w:r>
          </w:p>
        </w:tc>
        <w:tc>
          <w:tcPr>
            <w:tcW w:w="5612" w:type="dxa"/>
            <w:gridSpan w:val="2"/>
            <w:shd w:val="clear" w:color="auto" w:fill="FFFFFF" w:themeFill="background1"/>
            <w:vAlign w:val="center"/>
          </w:tcPr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Minimum dwa identyczne zasilacze zainstalowane wewnątrz serwera, pracujące redundantnie, zapewniające możliwość wyłączenia i wyjęcia dowolnego z nich z serwera bez przerywania pracy serwera oraz bez ograniczania wydajności serwera. </w:t>
            </w:r>
          </w:p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Moc każdego zasilacza minimum 1000W. </w:t>
            </w:r>
          </w:p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Sprawność zasilaczy na poziomie minimum 80 PLUS </w:t>
            </w:r>
            <w:proofErr w:type="spellStart"/>
            <w:r w:rsidRPr="00A13FF9">
              <w:rPr>
                <w:bCs/>
                <w:szCs w:val="24"/>
                <w:lang w:val="pl-PL"/>
              </w:rPr>
              <w:t>Titanium</w:t>
            </w:r>
            <w:proofErr w:type="spellEnd"/>
            <w:r w:rsidRPr="00A13FF9">
              <w:rPr>
                <w:bCs/>
                <w:szCs w:val="24"/>
                <w:lang w:val="pl-PL"/>
              </w:rPr>
              <w:t xml:space="preserve">. </w:t>
            </w:r>
          </w:p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Dwa kable C13-C14 o długości 2m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jc w:val="left"/>
              <w:rPr>
                <w:bCs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301FDD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13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Diagnostyka</w:t>
            </w:r>
          </w:p>
        </w:tc>
        <w:tc>
          <w:tcPr>
            <w:tcW w:w="5612" w:type="dxa"/>
            <w:gridSpan w:val="2"/>
            <w:shd w:val="clear" w:color="auto" w:fill="FFFFFF" w:themeFill="background1"/>
            <w:vAlign w:val="center"/>
          </w:tcPr>
          <w:p w:rsidR="00301FDD" w:rsidRPr="00A13FF9" w:rsidRDefault="00301FDD" w:rsidP="004C63F6">
            <w:pPr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Możliwość zainstalowania elektronicznego panelu diagnostycznego dostępnego z przodu serwera pozwalającego uzyskać informacje o stanie: procesora, pamięci, wentylatorów, zasilaczy, temperaturze, slotów OCP.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jc w:val="left"/>
              <w:rPr>
                <w:bCs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301FDD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14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Zarządzanie</w:t>
            </w:r>
          </w:p>
        </w:tc>
        <w:tc>
          <w:tcPr>
            <w:tcW w:w="5612" w:type="dxa"/>
            <w:gridSpan w:val="2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 xml:space="preserve">Karta zarządzająca niezależna od zainstalowanego na serwerze systemu operacyjnego posiadająca dedykowany port Gigabit Ethernet RJ-45 (1000Mbps) i posiadająca: </w:t>
            </w:r>
          </w:p>
          <w:p w:rsidR="00301FDD" w:rsidRPr="00A13FF9" w:rsidRDefault="00301FDD" w:rsidP="00301FDD">
            <w:pPr>
              <w:pStyle w:val="Default"/>
              <w:numPr>
                <w:ilvl w:val="1"/>
                <w:numId w:val="13"/>
              </w:numPr>
              <w:ind w:left="646" w:hanging="286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 xml:space="preserve">zdalny dostęp do graficznego interfejsu WWW karty zarządzającej; </w:t>
            </w:r>
          </w:p>
          <w:p w:rsidR="00301FDD" w:rsidRPr="00A13FF9" w:rsidRDefault="00301FDD" w:rsidP="00301FDD">
            <w:pPr>
              <w:pStyle w:val="Default"/>
              <w:numPr>
                <w:ilvl w:val="1"/>
                <w:numId w:val="13"/>
              </w:numPr>
              <w:ind w:left="646" w:hanging="286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 xml:space="preserve">wsparcie dla SNMP lub </w:t>
            </w:r>
            <w:proofErr w:type="spellStart"/>
            <w:r w:rsidRPr="00A13FF9">
              <w:rPr>
                <w:rFonts w:ascii="Times New Roman" w:hAnsi="Times New Roman" w:cs="Times New Roman"/>
                <w:lang w:val="pl-PL"/>
              </w:rPr>
              <w:t>SysLog</w:t>
            </w:r>
            <w:proofErr w:type="spellEnd"/>
            <w:r w:rsidRPr="00A13FF9">
              <w:rPr>
                <w:rFonts w:ascii="Times New Roman" w:hAnsi="Times New Roman" w:cs="Times New Roman"/>
                <w:lang w:val="pl-PL"/>
              </w:rPr>
              <w:t xml:space="preserve">, SSH i </w:t>
            </w:r>
            <w:proofErr w:type="spellStart"/>
            <w:r w:rsidRPr="00A13FF9">
              <w:rPr>
                <w:rFonts w:ascii="Times New Roman" w:hAnsi="Times New Roman" w:cs="Times New Roman"/>
                <w:lang w:val="pl-PL"/>
              </w:rPr>
              <w:t>Redfish</w:t>
            </w:r>
            <w:proofErr w:type="spellEnd"/>
            <w:r w:rsidRPr="00A13FF9">
              <w:rPr>
                <w:rFonts w:ascii="Times New Roman" w:hAnsi="Times New Roman" w:cs="Times New Roman"/>
                <w:lang w:val="pl-PL"/>
              </w:rPr>
              <w:t xml:space="preserve">; </w:t>
            </w:r>
          </w:p>
          <w:p w:rsidR="00301FDD" w:rsidRPr="00A13FF9" w:rsidRDefault="00301FDD" w:rsidP="00301FDD">
            <w:pPr>
              <w:pStyle w:val="Default"/>
              <w:numPr>
                <w:ilvl w:val="1"/>
                <w:numId w:val="13"/>
              </w:numPr>
              <w:ind w:left="646" w:hanging="286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 xml:space="preserve">monitorowanie podzespołów serwera: temperatura, zasilacze, wentylatory, procesory, pamięć RAM, kontrolery macierzowe i dyski (fizyczne i logiczne), karty sieciowe; </w:t>
            </w:r>
          </w:p>
          <w:p w:rsidR="00301FDD" w:rsidRPr="00A13FF9" w:rsidRDefault="00301FDD" w:rsidP="00301FDD">
            <w:pPr>
              <w:pStyle w:val="Default"/>
              <w:numPr>
                <w:ilvl w:val="1"/>
                <w:numId w:val="13"/>
              </w:numPr>
              <w:ind w:left="646" w:hanging="286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zdalna konfiguracji serwera (BIOS) i instalacji systemu operacyjnego</w:t>
            </w:r>
          </w:p>
          <w:p w:rsidR="00301FDD" w:rsidRPr="00A13FF9" w:rsidRDefault="00301FDD" w:rsidP="00301FDD">
            <w:pPr>
              <w:pStyle w:val="Default"/>
              <w:numPr>
                <w:ilvl w:val="1"/>
                <w:numId w:val="13"/>
              </w:numPr>
              <w:ind w:left="646" w:hanging="286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 xml:space="preserve">zapisywanie logów dotyczących stanu i zdarzeń serwera; </w:t>
            </w:r>
          </w:p>
          <w:p w:rsidR="00301FDD" w:rsidRPr="00A13FF9" w:rsidRDefault="00301FDD" w:rsidP="00301FDD">
            <w:pPr>
              <w:pStyle w:val="Default"/>
              <w:numPr>
                <w:ilvl w:val="1"/>
                <w:numId w:val="13"/>
              </w:numPr>
              <w:ind w:left="646" w:hanging="286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 xml:space="preserve">szyfrowane połączenie (TLS 1.3) oraz uwierzytelnianie i autoryzację użytkownika; </w:t>
            </w:r>
          </w:p>
          <w:p w:rsidR="00301FDD" w:rsidRPr="00A13FF9" w:rsidRDefault="00301FDD" w:rsidP="00301FDD">
            <w:pPr>
              <w:pStyle w:val="Default"/>
              <w:numPr>
                <w:ilvl w:val="1"/>
                <w:numId w:val="13"/>
              </w:numPr>
              <w:ind w:left="646" w:hanging="286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 xml:space="preserve">uwierzytelnianie oprogramowania sprzętowego </w:t>
            </w:r>
            <w:proofErr w:type="spellStart"/>
            <w:r w:rsidRPr="00A13FF9">
              <w:rPr>
                <w:rFonts w:ascii="Times New Roman" w:hAnsi="Times New Roman" w:cs="Times New Roman"/>
                <w:lang w:val="pl-PL"/>
              </w:rPr>
              <w:t>PCIe</w:t>
            </w:r>
            <w:proofErr w:type="spellEnd"/>
            <w:r w:rsidRPr="00A13FF9">
              <w:rPr>
                <w:rFonts w:ascii="Times New Roman" w:hAnsi="Times New Roman" w:cs="Times New Roman"/>
                <w:lang w:val="pl-PL"/>
              </w:rPr>
              <w:t xml:space="preserve"> z protokołem bezpieczeństwa i modelem danych (SPDM) zapewnia integralność komponentu</w:t>
            </w:r>
          </w:p>
          <w:p w:rsidR="00301FDD" w:rsidRPr="00A13FF9" w:rsidRDefault="00301FDD" w:rsidP="00301FDD">
            <w:pPr>
              <w:pStyle w:val="Default"/>
              <w:numPr>
                <w:ilvl w:val="1"/>
                <w:numId w:val="13"/>
              </w:numPr>
              <w:ind w:left="646" w:hanging="286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wirtualna zdalna konsola, tekstowa i graficzna, z dostępem do myszy i klawiatury i możliwością podłączenia wirtualnych napędów CD/DVD i USB i wirtualnych folderów</w:t>
            </w:r>
          </w:p>
          <w:p w:rsidR="00301FDD" w:rsidRPr="00A13FF9" w:rsidRDefault="00301FDD" w:rsidP="00301FDD">
            <w:pPr>
              <w:pStyle w:val="Default"/>
              <w:numPr>
                <w:ilvl w:val="1"/>
                <w:numId w:val="13"/>
              </w:numPr>
              <w:ind w:left="646" w:hanging="286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 xml:space="preserve">integrację z Active Directory oraz LDAP; </w:t>
            </w:r>
          </w:p>
          <w:p w:rsidR="00301FDD" w:rsidRPr="00A13FF9" w:rsidRDefault="00301FDD" w:rsidP="00301FDD">
            <w:pPr>
              <w:pStyle w:val="Default"/>
              <w:numPr>
                <w:ilvl w:val="1"/>
                <w:numId w:val="13"/>
              </w:numPr>
              <w:ind w:left="646" w:hanging="286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 xml:space="preserve">wysyłanie logów dotyczących pracy serwera poprzez </w:t>
            </w:r>
            <w:proofErr w:type="spellStart"/>
            <w:r w:rsidRPr="00A13FF9">
              <w:rPr>
                <w:rFonts w:ascii="Times New Roman" w:hAnsi="Times New Roman" w:cs="Times New Roman"/>
                <w:lang w:val="pl-PL"/>
              </w:rPr>
              <w:t>SysLog</w:t>
            </w:r>
            <w:proofErr w:type="spellEnd"/>
            <w:r w:rsidRPr="00A13FF9">
              <w:rPr>
                <w:rFonts w:ascii="Times New Roman" w:hAnsi="Times New Roman" w:cs="Times New Roman"/>
                <w:lang w:val="pl-PL"/>
              </w:rPr>
              <w:t xml:space="preserve"> lub SNMP; </w:t>
            </w:r>
          </w:p>
          <w:p w:rsidR="00301FDD" w:rsidRPr="00A13FF9" w:rsidRDefault="00301FDD" w:rsidP="00301FDD">
            <w:pPr>
              <w:pStyle w:val="Default"/>
              <w:numPr>
                <w:ilvl w:val="1"/>
                <w:numId w:val="13"/>
              </w:numPr>
              <w:ind w:left="646" w:hanging="286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wbudowany w kartę zarządzającą system przechowywania kluczy i certyfikatów w specjalnie przygotowanym na ten cel i odpowiednio zabezpieczonym repozytorium.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10597E">
              <w:rPr>
                <w:rFonts w:ascii="Times New Roman" w:hAnsi="Times New Roman" w:cs="Times New Roman"/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01FDD" w:rsidRPr="0010597E" w:rsidTr="00736BCA">
        <w:trPr>
          <w:trHeight w:val="763"/>
        </w:trPr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301FDD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13FF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Certyfikaty</w:t>
            </w:r>
          </w:p>
        </w:tc>
        <w:tc>
          <w:tcPr>
            <w:tcW w:w="5612" w:type="dxa"/>
            <w:gridSpan w:val="2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Deklaracja zgodności CE.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10597E">
              <w:rPr>
                <w:rFonts w:ascii="Times New Roman" w:hAnsi="Times New Roman" w:cs="Times New Roman"/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301FDD" w:rsidRPr="00A13FF9" w:rsidRDefault="00A13FF9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>16</w:t>
            </w:r>
          </w:p>
        </w:tc>
        <w:tc>
          <w:tcPr>
            <w:tcW w:w="1709" w:type="dxa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A13FF9">
              <w:rPr>
                <w:rFonts w:ascii="Times New Roman" w:hAnsi="Times New Roman" w:cs="Times New Roman"/>
                <w:lang w:val="pl-PL"/>
              </w:rPr>
              <w:t xml:space="preserve">Wspierane systemy operacyjne </w:t>
            </w:r>
            <w:r w:rsidRPr="00A13FF9">
              <w:rPr>
                <w:rFonts w:ascii="Times New Roman" w:hAnsi="Times New Roman" w:cs="Times New Roman"/>
                <w:lang w:val="pl-PL"/>
              </w:rPr>
              <w:br/>
              <w:t>i wirtualizacja</w:t>
            </w:r>
          </w:p>
        </w:tc>
        <w:tc>
          <w:tcPr>
            <w:tcW w:w="5612" w:type="dxa"/>
            <w:gridSpan w:val="2"/>
            <w:shd w:val="clear" w:color="auto" w:fill="FFFFFF" w:themeFill="background1"/>
            <w:vAlign w:val="center"/>
          </w:tcPr>
          <w:p w:rsidR="00301FDD" w:rsidRPr="00A13FF9" w:rsidRDefault="00301FDD" w:rsidP="00301FDD">
            <w:pPr>
              <w:jc w:val="left"/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>Serwer musi posiadać wsparcie dla co najmniej takiego zestawu systemów operacyjnych:</w:t>
            </w:r>
          </w:p>
          <w:p w:rsidR="00301FDD" w:rsidRPr="00A13FF9" w:rsidRDefault="00301FDD" w:rsidP="00301FDD">
            <w:pPr>
              <w:jc w:val="left"/>
              <w:rPr>
                <w:bCs/>
                <w:szCs w:val="24"/>
              </w:rPr>
            </w:pPr>
            <w:r w:rsidRPr="00A13FF9">
              <w:rPr>
                <w:bCs/>
                <w:szCs w:val="24"/>
              </w:rPr>
              <w:t>- Windows Server 2025 i 2022;</w:t>
            </w:r>
          </w:p>
          <w:p w:rsidR="00301FDD" w:rsidRPr="00A13FF9" w:rsidRDefault="00301FDD" w:rsidP="00301FDD">
            <w:pPr>
              <w:jc w:val="left"/>
              <w:rPr>
                <w:bCs/>
                <w:szCs w:val="24"/>
              </w:rPr>
            </w:pPr>
            <w:r w:rsidRPr="00A13FF9">
              <w:rPr>
                <w:bCs/>
                <w:szCs w:val="24"/>
              </w:rPr>
              <w:t>- VMware vSphere 8.0U3 i 9.0;</w:t>
            </w:r>
          </w:p>
          <w:p w:rsidR="00301FDD" w:rsidRPr="00A13FF9" w:rsidRDefault="00301FDD" w:rsidP="00301FDD">
            <w:pPr>
              <w:jc w:val="left"/>
              <w:rPr>
                <w:bCs/>
                <w:szCs w:val="24"/>
              </w:rPr>
            </w:pPr>
            <w:r w:rsidRPr="00A13FF9">
              <w:rPr>
                <w:bCs/>
                <w:szCs w:val="24"/>
              </w:rPr>
              <w:t>- Oracle Linux 9.x;</w:t>
            </w:r>
          </w:p>
          <w:p w:rsidR="00301FDD" w:rsidRPr="00A13FF9" w:rsidRDefault="00301FDD" w:rsidP="00301FDD">
            <w:pPr>
              <w:jc w:val="left"/>
              <w:rPr>
                <w:bCs/>
                <w:szCs w:val="24"/>
              </w:rPr>
            </w:pPr>
            <w:r w:rsidRPr="00A13FF9">
              <w:rPr>
                <w:bCs/>
                <w:szCs w:val="24"/>
              </w:rPr>
              <w:t>- Red Hat Enterprise Linux 10.x;</w:t>
            </w:r>
          </w:p>
          <w:p w:rsidR="00301FDD" w:rsidRPr="00A13FF9" w:rsidRDefault="00301FDD" w:rsidP="00301FDD">
            <w:pPr>
              <w:jc w:val="left"/>
              <w:rPr>
                <w:bCs/>
                <w:szCs w:val="24"/>
                <w:lang w:val="pl-PL"/>
              </w:rPr>
            </w:pPr>
            <w:r w:rsidRPr="00A13FF9">
              <w:rPr>
                <w:bCs/>
                <w:szCs w:val="24"/>
                <w:lang w:val="pl-PL"/>
              </w:rPr>
              <w:t xml:space="preserve">- </w:t>
            </w:r>
            <w:proofErr w:type="spellStart"/>
            <w:r w:rsidRPr="00A13FF9">
              <w:rPr>
                <w:bCs/>
                <w:szCs w:val="24"/>
                <w:lang w:val="pl-PL"/>
              </w:rPr>
              <w:t>Ubuntu</w:t>
            </w:r>
            <w:proofErr w:type="spellEnd"/>
            <w:r w:rsidRPr="00A13FF9">
              <w:rPr>
                <w:bCs/>
                <w:szCs w:val="24"/>
                <w:lang w:val="pl-PL"/>
              </w:rPr>
              <w:t xml:space="preserve"> 22.04, 24.04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301FDD" w:rsidRPr="0010597E" w:rsidRDefault="00301FDD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301FDD" w:rsidRPr="0010597E" w:rsidRDefault="00301FDD" w:rsidP="00301FDD">
            <w:pPr>
              <w:jc w:val="left"/>
              <w:rPr>
                <w:bCs/>
                <w:lang w:val="pl-PL"/>
              </w:rPr>
            </w:pPr>
          </w:p>
        </w:tc>
      </w:tr>
      <w:tr w:rsidR="00301FDD" w:rsidRPr="0010597E" w:rsidTr="00A92F29">
        <w:tc>
          <w:tcPr>
            <w:tcW w:w="9301" w:type="dxa"/>
            <w:gridSpan w:val="6"/>
            <w:shd w:val="clear" w:color="auto" w:fill="FFFFFF" w:themeFill="background1"/>
          </w:tcPr>
          <w:p w:rsidR="00301FDD" w:rsidRPr="00A13FF9" w:rsidRDefault="00301FDD" w:rsidP="00301FDD">
            <w:pPr>
              <w:jc w:val="left"/>
              <w:rPr>
                <w:bCs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D0CECE" w:themeFill="background2" w:themeFillShade="E6"/>
          </w:tcPr>
          <w:p w:rsidR="00301FDD" w:rsidRPr="00A13FF9" w:rsidRDefault="00301FDD" w:rsidP="00301FDD">
            <w:pPr>
              <w:pStyle w:val="Default"/>
              <w:rPr>
                <w:rFonts w:ascii="Times New Roman" w:hAnsi="Times New Roman" w:cs="Times New Roman"/>
                <w:b/>
                <w:lang w:val="pl-PL"/>
              </w:rPr>
            </w:pPr>
            <w:r w:rsidRPr="00A13FF9">
              <w:rPr>
                <w:rFonts w:ascii="Times New Roman" w:hAnsi="Times New Roman" w:cs="Times New Roman"/>
                <w:b/>
                <w:lang w:val="pl-PL"/>
              </w:rPr>
              <w:t>II</w:t>
            </w:r>
          </w:p>
        </w:tc>
        <w:tc>
          <w:tcPr>
            <w:tcW w:w="8731" w:type="dxa"/>
            <w:gridSpan w:val="5"/>
            <w:shd w:val="clear" w:color="auto" w:fill="D0CECE" w:themeFill="background2" w:themeFillShade="E6"/>
            <w:vAlign w:val="center"/>
          </w:tcPr>
          <w:p w:rsidR="00301FDD" w:rsidRPr="0010597E" w:rsidRDefault="00301FDD" w:rsidP="00BD4A0A">
            <w:pPr>
              <w:jc w:val="left"/>
              <w:rPr>
                <w:b/>
                <w:bCs/>
                <w:lang w:val="pl-PL"/>
              </w:rPr>
            </w:pPr>
            <w:r w:rsidRPr="0010597E">
              <w:rPr>
                <w:b/>
                <w:bCs/>
                <w:lang w:val="pl-PL"/>
              </w:rPr>
              <w:t>Macierz</w:t>
            </w:r>
            <w:r w:rsidR="00BD4A0A">
              <w:rPr>
                <w:b/>
                <w:bCs/>
                <w:lang w:val="pl-PL"/>
              </w:rPr>
              <w:t xml:space="preserve"> </w:t>
            </w:r>
            <w:r w:rsidR="00BD4A0A" w:rsidRPr="0010597E">
              <w:rPr>
                <w:b/>
                <w:bCs/>
                <w:lang w:val="pl-PL"/>
              </w:rPr>
              <w:t xml:space="preserve">- </w:t>
            </w:r>
            <w:r w:rsidR="00BD4A0A">
              <w:rPr>
                <w:b/>
                <w:bCs/>
                <w:lang w:val="pl-PL"/>
              </w:rPr>
              <w:t>1</w:t>
            </w:r>
            <w:r w:rsidR="00BD4A0A" w:rsidRPr="0010597E">
              <w:rPr>
                <w:b/>
                <w:bCs/>
                <w:lang w:val="pl-PL"/>
              </w:rPr>
              <w:t xml:space="preserve"> szt.</w:t>
            </w: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</w:tcPr>
          <w:p w:rsidR="00DD5BB1" w:rsidRPr="006A0F40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17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>Typ obudowy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rPr>
                <w:bCs/>
                <w:lang w:val="pl-PL"/>
              </w:rPr>
            </w:pPr>
            <w:r w:rsidRPr="0010597E">
              <w:rPr>
                <w:lang w:val="pl-PL"/>
              </w:rPr>
              <w:t xml:space="preserve">Macierz wraz z półkami musi być przystosowana do montażu w szafie </w:t>
            </w:r>
            <w:proofErr w:type="spellStart"/>
            <w:r w:rsidRPr="0010597E">
              <w:rPr>
                <w:lang w:val="pl-PL"/>
              </w:rPr>
              <w:t>rack</w:t>
            </w:r>
            <w:proofErr w:type="spellEnd"/>
            <w:r w:rsidRPr="0010597E">
              <w:rPr>
                <w:lang w:val="pl-PL"/>
              </w:rPr>
              <w:t xml:space="preserve"> 19”. Maksymalna wysokość urządzenia 2U. Szyny RACK oraz ramka maskująca dyski z kluczem.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18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>Przestrzeń dyskowa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Macierz musi posiadać minimum 14.4TB przestrzeni RAW zbudowanej w oparciu o minimum 6 dysków w technologii SAS 10k. </w:t>
            </w:r>
          </w:p>
          <w:p w:rsidR="00DD5BB1" w:rsidRPr="0010597E" w:rsidRDefault="00DD5BB1" w:rsidP="004C63F6">
            <w:pPr>
              <w:rPr>
                <w:lang w:val="pl-PL"/>
              </w:rPr>
            </w:pPr>
            <w:r w:rsidRPr="0010597E">
              <w:rPr>
                <w:lang w:val="pl-PL"/>
              </w:rPr>
              <w:t>Macierz musi posiadać minimum 15.3TB przestrzeni RAW zbudowanej w oparciu o minimum 8 dysków w technologii SAS SSD.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19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>Możliwość rozbudowy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Macierz musi umożliwiać rozbudowę/przebudowę (bez wymiany kontrolerów macierzy), do co najmniej 240 dysków twardych. 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>Obsługa dysków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Macierz musi obsługiwać dyski SSD, SAS i </w:t>
            </w:r>
            <w:proofErr w:type="spellStart"/>
            <w:r w:rsidRPr="0010597E">
              <w:rPr>
                <w:lang w:val="pl-PL"/>
              </w:rPr>
              <w:t>Midline</w:t>
            </w:r>
            <w:proofErr w:type="spellEnd"/>
            <w:r w:rsidRPr="0010597E">
              <w:rPr>
                <w:lang w:val="pl-PL"/>
              </w:rPr>
              <w:t xml:space="preserve"> SAS. Macierz musi umożliwiać mieszanie napędów dyskowych SSD, SAS i </w:t>
            </w:r>
            <w:proofErr w:type="spellStart"/>
            <w:r w:rsidRPr="0010597E">
              <w:rPr>
                <w:lang w:val="pl-PL"/>
              </w:rPr>
              <w:t>Midline</w:t>
            </w:r>
            <w:proofErr w:type="spellEnd"/>
            <w:r w:rsidRPr="0010597E">
              <w:rPr>
                <w:lang w:val="pl-PL"/>
              </w:rPr>
              <w:t xml:space="preserve"> SAS w obrębie pojedynczej półki dyskowej. Możliwość obsługi dysków typu SED. </w:t>
            </w:r>
            <w:r>
              <w:rPr>
                <w:lang w:val="pl-PL"/>
              </w:rPr>
              <w:t>M</w:t>
            </w:r>
            <w:r w:rsidRPr="0010597E">
              <w:rPr>
                <w:lang w:val="pl-PL"/>
              </w:rPr>
              <w:t xml:space="preserve">acierz musi obsługiwać dyski 2,5” jak również 3,5”. 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21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>Sposób zabezpieczenia danych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Macierz musi obsługiwać mechanizmy RAID zgodne z RAID0, RAID1, RAID10, RAID5, RAID6 oraz RAID z tzw. rozproszoną wolną pojemnością, realizowane sprzętowo za pomocą dedykowanego układu, z możliwością dowolnej ich kombinacji w obrębie oferowanej macierzy i z wykorzystaniem wszystkich dysków twardych (tzw. </w:t>
            </w:r>
            <w:proofErr w:type="spellStart"/>
            <w:r w:rsidRPr="0010597E">
              <w:rPr>
                <w:lang w:val="pl-PL"/>
              </w:rPr>
              <w:t>wide-striping</w:t>
            </w:r>
            <w:proofErr w:type="spellEnd"/>
            <w:r w:rsidRPr="0010597E">
              <w:rPr>
                <w:lang w:val="pl-PL"/>
              </w:rPr>
              <w:t>).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Macierz musi umożliwiać definiowanie globalnych dysków </w:t>
            </w:r>
            <w:proofErr w:type="spellStart"/>
            <w:r w:rsidRPr="0010597E">
              <w:rPr>
                <w:lang w:val="pl-PL"/>
              </w:rPr>
              <w:t>spare</w:t>
            </w:r>
            <w:proofErr w:type="spellEnd"/>
            <w:r w:rsidRPr="0010597E">
              <w:rPr>
                <w:bCs/>
                <w:lang w:val="pl-PL"/>
              </w:rPr>
              <w:t xml:space="preserve"> oraz dedykowanie dysków </w:t>
            </w:r>
            <w:proofErr w:type="spellStart"/>
            <w:r w:rsidRPr="0010597E">
              <w:rPr>
                <w:bCs/>
                <w:lang w:val="pl-PL"/>
              </w:rPr>
              <w:t>spare</w:t>
            </w:r>
            <w:proofErr w:type="spellEnd"/>
            <w:r w:rsidRPr="0010597E">
              <w:rPr>
                <w:bCs/>
                <w:lang w:val="pl-PL"/>
              </w:rPr>
              <w:t xml:space="preserve"> do konkretnych grup RAID</w:t>
            </w:r>
            <w:r w:rsidRPr="0010597E">
              <w:rPr>
                <w:lang w:val="pl-PL"/>
              </w:rPr>
              <w:t xml:space="preserve">. 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Macierz musi również oferować możliwość zdefiniowania grup dyskowych z tzw. rozproszoną wolną pojemnością, która nie wykorzystuje tradycyjnych dysków zapasowych (integracja dysków zapasowych i nieaktywnych do zwiększenia dostępności i wydajności macierzy, zwiększenie szybkości odbudowy macierzy na wypadek awarii dysku).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Macierz musi umożliwiać obsługę dysków różnej pojemności w ramach grupy dysków.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22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>Tryb pracy kontrolerów macierzowych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Macierz musi posiadać minimum 2 kontrolery macierzowe pracujące w trybie </w:t>
            </w:r>
            <w:proofErr w:type="spellStart"/>
            <w:r w:rsidRPr="0010597E">
              <w:rPr>
                <w:lang w:val="pl-PL"/>
              </w:rPr>
              <w:t>active-active</w:t>
            </w:r>
            <w:proofErr w:type="spellEnd"/>
            <w:r w:rsidRPr="0010597E">
              <w:rPr>
                <w:lang w:val="pl-PL"/>
              </w:rPr>
              <w:t xml:space="preserve"> i udostępniające jednocześnie dane blokowe. Wszystkie kontrolery muszą komunikować się między sobą bez stosowania dodatkowych przełączników lub koncentratorów. 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23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>Pamięć cache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Macierz musi posiadać minimum sumarycznie 48 GB pamięci cache. Pamięć cache musi być zbudowana w oparciu o wydajną pamięć typu RAM.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Pamięć zapisu musi być mirrorowana (kopie lustrzane) pomiędzy kontrolerami dyskowymi.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Dane niezapisane na dyskach (np. zawartość pamięci kontrolera) muszą zostać zabezpieczone w przypadku awarii zasilania za pomocą podtrzymania bateryjnego lub z zastosowaniem innej technologii przez okres minimum 5 lat.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24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>Rozbudowa pamięci cache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Macierz musi umożliwiać zwiększenie pojemności pamięci cache dla odczytów do minimum 7,6 </w:t>
            </w:r>
            <w:proofErr w:type="spellStart"/>
            <w:r w:rsidRPr="0010597E">
              <w:rPr>
                <w:lang w:val="pl-PL"/>
              </w:rPr>
              <w:t>TiB</w:t>
            </w:r>
            <w:proofErr w:type="spellEnd"/>
            <w:r w:rsidRPr="0010597E">
              <w:rPr>
                <w:lang w:val="pl-PL"/>
              </w:rPr>
              <w:t xml:space="preserve"> z wykorzystaniem dysków SSD lub kart pamięci </w:t>
            </w:r>
            <w:proofErr w:type="spellStart"/>
            <w:r w:rsidRPr="0010597E">
              <w:rPr>
                <w:lang w:val="pl-PL"/>
              </w:rPr>
              <w:t>flash</w:t>
            </w:r>
            <w:proofErr w:type="spellEnd"/>
            <w:r w:rsidRPr="0010597E">
              <w:rPr>
                <w:lang w:val="pl-PL"/>
              </w:rPr>
              <w:t xml:space="preserve">. 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Jeżeli do obsługi powyższej funkcjonalności wymagane są dodatkowe licencje, należy je dostarczyć wraz z rozwiązaniem.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25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 xml:space="preserve">Interfejsy 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Macierz musi posiadać, co najmniej 8 portów 32Gb FC (min 4 porty na kontroler) , minimum 2 porty na kontroler wyposażone we wkładki 32Gb FC SW.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26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>Zarządzanie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Zarządzanie macierzą musi być możliwe z poziomu interfejsu graficznego i interfejsu znakowego. Zarządzanie macierzą musi odbywać się bezpośrednio na kontrolerach macierzy z poziomu przeglądarki internetowej. 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27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>Zarządzanie grupami dyskowymi oraz dyskami logicznymi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Macierz musi umożliwiać zdefiniowanie, co najmniej 512 wolumenów logicznych w ramach oferowanej macierzy dyskowej. 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bCs/>
                <w:lang w:val="pl-PL"/>
              </w:rPr>
              <w:t>Jeżeli do obsługi powyższych funkcjonalności wymagane są dodatkowe licencje, należy je dostarczyć dla całej pojemności urządzenia.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28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1E5BC1">
              <w:rPr>
                <w:rFonts w:ascii="Times New Roman" w:hAnsi="Times New Roman" w:cs="Times New Roman"/>
                <w:lang w:val="pl-PL"/>
              </w:rPr>
              <w:t>Thin</w:t>
            </w:r>
            <w:proofErr w:type="spellEnd"/>
            <w:r w:rsidRPr="001E5BC1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1E5BC1">
              <w:rPr>
                <w:rFonts w:ascii="Times New Roman" w:hAnsi="Times New Roman" w:cs="Times New Roman"/>
                <w:lang w:val="pl-PL"/>
              </w:rPr>
              <w:t>Provisioning</w:t>
            </w:r>
            <w:proofErr w:type="spellEnd"/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Macierz musi umożliwiać udostępnianie zasobów dyskowych do serwerów w trybie tradycyjnym, jak i w trybie typu </w:t>
            </w:r>
            <w:proofErr w:type="spellStart"/>
            <w:r w:rsidRPr="0010597E">
              <w:rPr>
                <w:lang w:val="pl-PL"/>
              </w:rPr>
              <w:t>Thin</w:t>
            </w:r>
            <w:proofErr w:type="spellEnd"/>
            <w:r w:rsidRPr="0010597E">
              <w:rPr>
                <w:lang w:val="pl-PL"/>
              </w:rPr>
              <w:t xml:space="preserve"> </w:t>
            </w:r>
            <w:proofErr w:type="spellStart"/>
            <w:r w:rsidRPr="0010597E">
              <w:rPr>
                <w:lang w:val="pl-PL"/>
              </w:rPr>
              <w:t>Provisioning</w:t>
            </w:r>
            <w:proofErr w:type="spellEnd"/>
            <w:r w:rsidRPr="0010597E">
              <w:rPr>
                <w:lang w:val="pl-PL"/>
              </w:rPr>
              <w:t>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29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1E5BC1">
              <w:rPr>
                <w:rFonts w:ascii="Times New Roman" w:hAnsi="Times New Roman" w:cs="Times New Roman"/>
                <w:lang w:val="pl-PL"/>
              </w:rPr>
              <w:t>Tiering</w:t>
            </w:r>
            <w:proofErr w:type="spellEnd"/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Macierz musi posiadać funkcjonalność </w:t>
            </w:r>
            <w:proofErr w:type="spellStart"/>
            <w:r w:rsidRPr="0010597E">
              <w:rPr>
                <w:lang w:val="pl-PL"/>
              </w:rPr>
              <w:t>Tiering</w:t>
            </w:r>
            <w:proofErr w:type="spellEnd"/>
            <w:r w:rsidRPr="0010597E">
              <w:rPr>
                <w:lang w:val="pl-PL"/>
              </w:rPr>
              <w:t xml:space="preserve"> między dyskami SSD i SAS i między dyskami SAS i NL SAS.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proofErr w:type="spellStart"/>
            <w:r w:rsidRPr="0010597E">
              <w:rPr>
                <w:lang w:val="pl-PL"/>
              </w:rPr>
              <w:t>Tiering</w:t>
            </w:r>
            <w:proofErr w:type="spellEnd"/>
            <w:r w:rsidRPr="0010597E">
              <w:rPr>
                <w:lang w:val="pl-PL"/>
              </w:rPr>
              <w:t xml:space="preserve"> musi obejmować wszystkie woluminy w danej puli dyskowej.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Dyski SSD mogą być wykorzystane zarówno do uzyskania pojemności w warstwie wydajności lub na potrzeby zwiększenia pamięci podręcznej odczytu w celu przyspieszenia operacji losowego odczytu z jednej lub wielu warstw napędów mechanicznych.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Jeżeli do obsługi powyższych funkcjonalności wymagane są dodatkowe licencje, należy je dostarczyć dla całej pojemności urządzenia.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30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>Wewnętrzne kopie migawkowe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Macierz musi umożliwiać dokonywania na żądanie tzw. migawkowej kopii danych (</w:t>
            </w:r>
            <w:proofErr w:type="spellStart"/>
            <w:r w:rsidRPr="0010597E">
              <w:rPr>
                <w:bCs/>
                <w:lang w:val="pl-PL"/>
              </w:rPr>
              <w:t>snapshot</w:t>
            </w:r>
            <w:proofErr w:type="spellEnd"/>
            <w:r w:rsidRPr="0010597E">
              <w:rPr>
                <w:bCs/>
                <w:lang w:val="pl-PL"/>
              </w:rPr>
              <w:t>, point-in-</w:t>
            </w:r>
            <w:proofErr w:type="spellStart"/>
            <w:r w:rsidRPr="0010597E">
              <w:rPr>
                <w:bCs/>
                <w:lang w:val="pl-PL"/>
              </w:rPr>
              <w:t>time</w:t>
            </w:r>
            <w:proofErr w:type="spellEnd"/>
            <w:r w:rsidRPr="0010597E">
              <w:rPr>
                <w:bCs/>
                <w:lang w:val="pl-PL"/>
              </w:rPr>
              <w:t xml:space="preserve">) w ramach macierzy za pomocą wewnętrznych kontrolerów macierzowych. Kopia migawkowa wykonuje się bez alokowania dodatkowej przestrzeni dyskowej na potrzeby kopii. Zajmowanie dodatkowej przestrzeni dyskowej następuje w momencie zmiany danych na dysku źródłowym lub na jego kopii. </w:t>
            </w:r>
          </w:p>
          <w:p w:rsidR="00DD5BB1" w:rsidRPr="0010597E" w:rsidRDefault="00DD5BB1" w:rsidP="004C63F6">
            <w:pPr>
              <w:spacing w:after="0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Macierz musi wspierać minimum 512 kopii migawkowych.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bCs/>
                <w:lang w:val="pl-PL"/>
              </w:rPr>
              <w:t xml:space="preserve">Jeżeli do obsługi powyższych funkcjonalności wymagane są dodatkowe licencje, należy je dostarczyć dla całej pojemności urządzenia. 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31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>Wewnętrzne kopie pełne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Macierz musi umożliwiać dokonywanie na żądanie pełnej fizycznej kopii danych (clone) w ramach macierzy za pomocą wewnętrznych kontrolerów macierzowych. </w:t>
            </w:r>
          </w:p>
          <w:p w:rsidR="00DD5BB1" w:rsidRPr="0010597E" w:rsidRDefault="00DD5BB1" w:rsidP="004C63F6">
            <w:pPr>
              <w:spacing w:after="0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Jeżeli do obsługi powyższych funkcjonalności wymagane są dodatkowe licencje, należy je dostarczyć dla całej pojemności urządzenia.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32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>Migracja danych w obrębie macierzy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Macierz dyskowa musi umożliwiać migrację danych bez przerywania do nich dostępu pomiędzy różnymi warstwami technologii dyskowych na poziomie części wolumenów logicznych (ang. </w:t>
            </w:r>
            <w:proofErr w:type="spellStart"/>
            <w:r w:rsidRPr="0010597E">
              <w:rPr>
                <w:lang w:val="pl-PL"/>
              </w:rPr>
              <w:t>Sub</w:t>
            </w:r>
            <w:proofErr w:type="spellEnd"/>
            <w:r w:rsidRPr="0010597E">
              <w:rPr>
                <w:lang w:val="pl-PL"/>
              </w:rPr>
              <w:t xml:space="preserve">-LUN). Zmiany te muszą się odbywać wewnętrznymi mechanizmami macierzy. Funkcjonalność musi umożliwiać zdefiniowanie zasobu LUN, który fizycznie będzie znajdował się na min. 3 typach dysków obsługiwanych przez macierz, a jego części będą realokowane na podstawie analizy ruchu w sposób automatyczny i transparentny (bez przerywania dostępu do danych) dla korzystających z tego wolumenu hostów. Zmiany te muszą się odbywać wewnętrznymi mechanizmami macierzy. </w:t>
            </w:r>
            <w:r w:rsidRPr="0010597E">
              <w:rPr>
                <w:bCs/>
                <w:lang w:val="pl-PL"/>
              </w:rPr>
              <w:t>Jeżeli do obsługi powyższych funkcjonalności wymagane są dodatkowe licencje, należy je dostarczyć dla całej pojemności dostarczanego urządzenia.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33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>Zdalna replikacja danych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Macierz musi umożliwiać asynchroniczną replikację danych do innej macierzy z tej samej rodziny. Replikacja musi być wykonywana na poziomie kontrolerów, bez użycia dodatkowych serwerów lub innych urządzeń i bez obciążania serwerów podłączonych do macierzy. 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bCs/>
                <w:lang w:val="pl-PL"/>
              </w:rPr>
              <w:t>Jeżeli do obsługi powyższej funkcjonalności wymagane są dodatkowe licencje, należy je dostarczyć wraz z urządzeniem.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34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  <w:r w:rsidRPr="001E5BC1">
              <w:rPr>
                <w:rFonts w:ascii="Times New Roman" w:hAnsi="Times New Roman" w:cs="Times New Roman"/>
                <w:lang w:val="pl-PL"/>
              </w:rPr>
              <w:t>Podłączanie zewnętrznych systemów operacyjnych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Macierz musi umożliwiać jednoczesne podłączenie wielu serwerów w trybie wysokiej dostępności (co najmniej dwoma ścieżkami). 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Macierz musi wspierać podłączenie następujących systemów operacyjnych: Windows, Linux, </w:t>
            </w:r>
            <w:proofErr w:type="spellStart"/>
            <w:r w:rsidRPr="0010597E">
              <w:rPr>
                <w:lang w:val="pl-PL"/>
              </w:rPr>
              <w:t>VMware</w:t>
            </w:r>
            <w:proofErr w:type="spellEnd"/>
            <w:r w:rsidRPr="0010597E">
              <w:rPr>
                <w:lang w:val="pl-PL"/>
              </w:rPr>
              <w:t xml:space="preserve">. 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Dla wymienionych systemów operacyjnych należy dostarczyć oprogramowanie do przełączania ścieżek i równoważenia obciążenia poszczególnych ścieżek. Wymagane jest oprogramowanie dla nielimitowanej liczby serwerów. Dopuszcza się rozwiązania bazujące na natywnych możliwościach systemów operacyjnych.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bCs/>
                <w:lang w:val="pl-PL"/>
              </w:rPr>
              <w:t xml:space="preserve">Jeżeli do obsługi powyższych funkcjonalności wymagane są dodatkowe licencje, należy je dostarczyć dla </w:t>
            </w:r>
            <w:r w:rsidRPr="0010597E">
              <w:rPr>
                <w:lang w:val="pl-PL"/>
              </w:rPr>
              <w:t>maksymalnej liczby serwerów obsługiwanych przez oferowane urządzenie.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35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spacing w:after="0"/>
              <w:jc w:val="left"/>
              <w:rPr>
                <w:lang w:val="pl-PL"/>
              </w:rPr>
            </w:pPr>
            <w:r w:rsidRPr="001E5BC1">
              <w:rPr>
                <w:lang w:val="pl-PL"/>
              </w:rPr>
              <w:t>Redundancja</w:t>
            </w:r>
          </w:p>
          <w:p w:rsidR="00DD5BB1" w:rsidRPr="001E5BC1" w:rsidRDefault="00DD5BB1" w:rsidP="00DD5BB1">
            <w:pPr>
              <w:pStyle w:val="Default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Macierz nie może posiadać pojedynczego punktu awarii, który powodowałby brak dostępu do danych. Musi być zapewniona pełna redundancja komponentów, w szczególności zdublowanie kontrolerów, zasilaczy i wentylatorów.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Macierz musi umożliwiać wymianę elementów systemu w trybie „hot-</w:t>
            </w:r>
            <w:proofErr w:type="spellStart"/>
            <w:r w:rsidRPr="0010597E">
              <w:rPr>
                <w:lang w:val="pl-PL"/>
              </w:rPr>
              <w:t>swap</w:t>
            </w:r>
            <w:proofErr w:type="spellEnd"/>
            <w:r w:rsidRPr="0010597E">
              <w:rPr>
                <w:lang w:val="pl-PL"/>
              </w:rPr>
              <w:t>”, a w szczególności takich, jak: dyski, kontrolery, zasilacze, wentylatory.</w:t>
            </w:r>
          </w:p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bCs/>
                <w:lang w:val="pl-PL"/>
              </w:rPr>
              <w:t>Macierz musi mieć możliwość zasilania z dwu niezależnych źródeł zasilania – odporność na zanik zasilania jednej fazy lub awarię jednego z zasilaczy macierzy.</w:t>
            </w:r>
            <w:r w:rsidRPr="0010597E">
              <w:rPr>
                <w:lang w:val="pl-PL"/>
              </w:rPr>
              <w:t xml:space="preserve"> 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36</w:t>
            </w:r>
          </w:p>
        </w:tc>
        <w:tc>
          <w:tcPr>
            <w:tcW w:w="1709" w:type="dxa"/>
            <w:shd w:val="clear" w:color="auto" w:fill="FFFFFF" w:themeFill="background1"/>
          </w:tcPr>
          <w:p w:rsidR="00DD5BB1" w:rsidRPr="001E5BC1" w:rsidRDefault="00DD5BB1" w:rsidP="00DD5BB1">
            <w:pPr>
              <w:spacing w:after="0"/>
              <w:jc w:val="left"/>
              <w:rPr>
                <w:lang w:val="pl-PL"/>
              </w:rPr>
            </w:pPr>
            <w:r w:rsidRPr="001E5BC1">
              <w:rPr>
                <w:lang w:val="pl-PL"/>
              </w:rPr>
              <w:t>Dodatkowe wymagania</w:t>
            </w:r>
          </w:p>
        </w:tc>
        <w:tc>
          <w:tcPr>
            <w:tcW w:w="5612" w:type="dxa"/>
            <w:gridSpan w:val="2"/>
            <w:shd w:val="clear" w:color="auto" w:fill="FFFFFF" w:themeFill="background1"/>
          </w:tcPr>
          <w:p w:rsidR="00DD5BB1" w:rsidRPr="0010597E" w:rsidRDefault="00DD5BB1" w:rsidP="004C63F6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Oferowany system dyskowy musi się składać z pojedynczej macierzy dyskowej. Niedopuszczalna jest realizacja zamówienia poprzez dostarczenie wielu macierzy dyskowych. Za pojedynczą macierz nie uznaje się rozwiązania opartego o wiele macierzy dyskowych (par kontrolerów macierzowych) połączonych przełącznikami SAN lub tzw. </w:t>
            </w:r>
            <w:proofErr w:type="spellStart"/>
            <w:r w:rsidRPr="0010597E">
              <w:rPr>
                <w:lang w:val="pl-PL"/>
              </w:rPr>
              <w:t>wirtualizatorem</w:t>
            </w:r>
            <w:proofErr w:type="spellEnd"/>
            <w:r w:rsidRPr="0010597E">
              <w:rPr>
                <w:lang w:val="pl-PL"/>
              </w:rPr>
              <w:t xml:space="preserve"> sieci SAN czy </w:t>
            </w:r>
            <w:proofErr w:type="spellStart"/>
            <w:r w:rsidRPr="0010597E">
              <w:rPr>
                <w:lang w:val="pl-PL"/>
              </w:rPr>
              <w:t>wirtualizatorem</w:t>
            </w:r>
            <w:proofErr w:type="spellEnd"/>
            <w:r w:rsidRPr="0010597E">
              <w:rPr>
                <w:lang w:val="pl-PL"/>
              </w:rPr>
              <w:t xml:space="preserve"> macierzy dyskowych.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1E5BC1" w:rsidRPr="0010597E" w:rsidTr="00A92F29">
        <w:tc>
          <w:tcPr>
            <w:tcW w:w="9301" w:type="dxa"/>
            <w:gridSpan w:val="6"/>
            <w:shd w:val="clear" w:color="auto" w:fill="FFFFFF" w:themeFill="background1"/>
          </w:tcPr>
          <w:p w:rsidR="001E5BC1" w:rsidRDefault="001E5BC1" w:rsidP="00301FDD">
            <w:pPr>
              <w:jc w:val="left"/>
              <w:rPr>
                <w:bCs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D0CECE" w:themeFill="background2" w:themeFillShade="E6"/>
          </w:tcPr>
          <w:p w:rsidR="00301FDD" w:rsidRPr="00DD5BB1" w:rsidRDefault="00301FDD" w:rsidP="00301FDD">
            <w:pPr>
              <w:pStyle w:val="Default"/>
              <w:rPr>
                <w:rFonts w:ascii="Times New Roman" w:hAnsi="Times New Roman" w:cs="Times New Roman"/>
                <w:b/>
                <w:lang w:val="pl-PL"/>
              </w:rPr>
            </w:pPr>
            <w:r w:rsidRPr="00DD5BB1">
              <w:rPr>
                <w:rFonts w:ascii="Times New Roman" w:hAnsi="Times New Roman" w:cs="Times New Roman"/>
                <w:b/>
                <w:lang w:val="pl-PL"/>
              </w:rPr>
              <w:t>III</w:t>
            </w:r>
          </w:p>
        </w:tc>
        <w:tc>
          <w:tcPr>
            <w:tcW w:w="8731" w:type="dxa"/>
            <w:gridSpan w:val="5"/>
            <w:shd w:val="clear" w:color="auto" w:fill="D0CECE" w:themeFill="background2" w:themeFillShade="E6"/>
          </w:tcPr>
          <w:p w:rsidR="00301FDD" w:rsidRPr="0010597E" w:rsidRDefault="00301FDD" w:rsidP="00301FDD">
            <w:pPr>
              <w:jc w:val="left"/>
              <w:rPr>
                <w:b/>
                <w:bCs/>
                <w:lang w:val="pl-PL"/>
              </w:rPr>
            </w:pPr>
            <w:r w:rsidRPr="0010597E">
              <w:rPr>
                <w:b/>
                <w:bCs/>
                <w:lang w:val="pl-PL"/>
              </w:rPr>
              <w:t>Oprogramowanie do wirtualizacji</w:t>
            </w:r>
            <w:r w:rsidR="00BD4A0A">
              <w:rPr>
                <w:b/>
                <w:bCs/>
                <w:lang w:val="pl-PL"/>
              </w:rPr>
              <w:t xml:space="preserve"> - 1 pakiet</w:t>
            </w: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474856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Warstwa wirtualizacji musi być zainstalowana bezpośrednio na sprzęcie fizycznym bez dodatkowych pośredniczących systemów operacyjnych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  <w:lang w:val="pl-PL"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474856" w:rsidRDefault="00DD5BB1" w:rsidP="00DD5BB1">
            <w:pPr>
              <w:spacing w:after="0"/>
              <w:rPr>
                <w:lang w:val="pl-PL"/>
              </w:rPr>
            </w:pPr>
            <w:r w:rsidRPr="00474856">
              <w:rPr>
                <w:lang w:val="pl-PL"/>
              </w:rPr>
              <w:t>Rozwiązanie musi zapewnić możliwość obsługi wielu instancji systemów operacyjnych na jednym serwerze fizycznym i powinno się charakteryzować maksymalnym możliwym stopniem konsolidacji sprzętowej.</w:t>
            </w:r>
          </w:p>
          <w:p w:rsidR="00DD5BB1" w:rsidRPr="005A0D9A" w:rsidRDefault="00DD5BB1" w:rsidP="00DD5BB1">
            <w:pPr>
              <w:spacing w:after="0"/>
              <w:rPr>
                <w:lang w:val="pl-PL"/>
              </w:rPr>
            </w:pP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Licencja na konsolę do zarządzania środowiskiem wirtualnym musi być zawarta w licencji na oferowany </w:t>
            </w:r>
            <w:proofErr w:type="spellStart"/>
            <w:r w:rsidRPr="0010597E">
              <w:rPr>
                <w:lang w:val="pl-PL"/>
              </w:rPr>
              <w:t>wirtualizator</w:t>
            </w:r>
            <w:proofErr w:type="spellEnd"/>
            <w:r w:rsidRPr="0010597E">
              <w:rPr>
                <w:lang w:val="pl-PL"/>
              </w:rPr>
              <w:t>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Pr="0010597E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474856" w:rsidRDefault="00DD5BB1" w:rsidP="00DD5BB1">
            <w:pPr>
              <w:spacing w:after="0"/>
              <w:rPr>
                <w:lang w:val="pl-PL"/>
              </w:rPr>
            </w:pPr>
            <w:r w:rsidRPr="00474856">
              <w:rPr>
                <w:lang w:val="pl-PL"/>
              </w:rPr>
              <w:t>Oprogramowanie do wirtualizacji musi zapewniać możliwość stworzenia dysku maszyny wirtualnej o wielkości 62 TB.</w:t>
            </w:r>
          </w:p>
          <w:p w:rsidR="00DD5BB1" w:rsidRPr="005A0D9A" w:rsidRDefault="00DD5BB1" w:rsidP="00DD5BB1">
            <w:pPr>
              <w:spacing w:after="0"/>
              <w:rPr>
                <w:lang w:val="pl-PL"/>
              </w:rPr>
            </w:pP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474856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Oprogramowanie do wirtualizacji musi zapewnić możliwość skonfigurowania maszyn wirtualnych z możliwością przydzielenia 24 TB pamięci operacyjnej RAM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Oprogramowanie do wirtualizacji musi zapewnić możliwość skonfigurowania maszyn wirtualnych, z których każda może mieć 1-10 wirtualnych kart sieciowych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Oprogramowanie do wirtualizacji musi zapewnić możliwość skonfigurowania maszyn wirtualnych, z których każda może mieć 32 porty szeregowe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Oprogramowanie do wirtualizacji musi zapewnić możliwość skonfigurowania maszyn wirtualnych, z których każda może mieć 20 portów USB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Oprogramowanie do wirtualizacji musi zapewnić możliwość skonfigurowania maszyn wirtualnych, z których każda może mieć 4 GB pamięci graficznej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Rozwiązanie musi umożliwiać łatwą i szybką rozbudowę infrastruktury o nowe usługi bez spadku wyd</w:t>
            </w:r>
            <w:bookmarkStart w:id="0" w:name="_GoBack"/>
            <w:bookmarkEnd w:id="0"/>
            <w:r w:rsidRPr="0010597E">
              <w:rPr>
                <w:lang w:val="pl-PL"/>
              </w:rPr>
              <w:t>ajności i dostępności pozostałych wybranych usług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Rozwiązanie powinno w możliwie największym stopniu być niezależne od producenta platformy sprzętowej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10597E" w:rsidRDefault="00DD5BB1" w:rsidP="00DD5BB1">
            <w:pPr>
              <w:spacing w:after="0"/>
            </w:pPr>
            <w:proofErr w:type="spellStart"/>
            <w:r w:rsidRPr="005A0D9A">
              <w:t>Rozwiązanie</w:t>
            </w:r>
            <w:proofErr w:type="spellEnd"/>
            <w:r w:rsidRPr="005A0D9A">
              <w:t xml:space="preserve"> </w:t>
            </w:r>
            <w:proofErr w:type="spellStart"/>
            <w:r w:rsidRPr="005A0D9A">
              <w:t>musi</w:t>
            </w:r>
            <w:proofErr w:type="spellEnd"/>
            <w:r w:rsidRPr="005A0D9A">
              <w:t xml:space="preserve"> </w:t>
            </w:r>
            <w:proofErr w:type="spellStart"/>
            <w:r w:rsidRPr="005A0D9A">
              <w:t>wspierać</w:t>
            </w:r>
            <w:proofErr w:type="spellEnd"/>
            <w:r w:rsidRPr="005A0D9A">
              <w:t xml:space="preserve"> </w:t>
            </w:r>
            <w:proofErr w:type="spellStart"/>
            <w:r w:rsidRPr="005A0D9A">
              <w:t>następujące</w:t>
            </w:r>
            <w:proofErr w:type="spellEnd"/>
            <w:r w:rsidRPr="005A0D9A">
              <w:t xml:space="preserve"> </w:t>
            </w:r>
            <w:proofErr w:type="spellStart"/>
            <w:r w:rsidRPr="005A0D9A">
              <w:t>systemy</w:t>
            </w:r>
            <w:proofErr w:type="spellEnd"/>
            <w:r w:rsidRPr="005A0D9A">
              <w:t xml:space="preserve"> </w:t>
            </w:r>
            <w:proofErr w:type="spellStart"/>
            <w:r w:rsidRPr="005A0D9A">
              <w:t>operacyjne</w:t>
            </w:r>
            <w:proofErr w:type="spellEnd"/>
            <w:r w:rsidRPr="005A0D9A">
              <w:t>: Windows 7</w:t>
            </w:r>
            <w:r w:rsidR="006F6DB2">
              <w:t xml:space="preserve">/8/10/11, Windows Server, Ubuntu, CentOS, </w:t>
            </w:r>
            <w:proofErr w:type="spellStart"/>
            <w:r w:rsidRPr="005A0D9A">
              <w:t>Debian</w:t>
            </w:r>
            <w:proofErr w:type="spellEnd"/>
            <w:r w:rsidRPr="005A0D9A">
              <w:t>, FreeBSD, Ora</w:t>
            </w:r>
            <w:r w:rsidR="006F6DB2">
              <w:t>cle Linux, RHEL, SUSE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Rozwiązanie musi umożliwiać przydzielenie większej ilości pamięci RAM dla maszyn wirtualnych niż fizyczne zasoby RAM serwera w celu osiągnięcia maksymalnego współczynnika konsolidacji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Oprogramowanie do wirtualizacji powinno zapewnić możliwość wykonywania kopii migawkowych instancji systemów operacyjnych (tzw. </w:t>
            </w:r>
            <w:proofErr w:type="spellStart"/>
            <w:r w:rsidRPr="0010597E">
              <w:rPr>
                <w:lang w:val="pl-PL"/>
              </w:rPr>
              <w:t>snapshot</w:t>
            </w:r>
            <w:proofErr w:type="spellEnd"/>
            <w:r w:rsidRPr="0010597E">
              <w:rPr>
                <w:lang w:val="pl-PL"/>
              </w:rPr>
              <w:t>) na potrzeby tworzenia kopii zapasowych bez przerywania ich pracy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Rozwiązanie musi umożliwiać udostępnienie maszynie wirtualnej większej ilości zasobów dyskowych niż jest fizycznie zarezerwowane na dyskach lokalnych serwera lub na macierzy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10597E" w:rsidRDefault="00DD5BB1" w:rsidP="00DD5BB1">
            <w:pPr>
              <w:spacing w:after="0"/>
            </w:pPr>
            <w:r w:rsidRPr="0010597E">
              <w:rPr>
                <w:lang w:val="pl-PL"/>
              </w:rPr>
              <w:t>System musi posiadać funkcjonalność wirtualnego przełącznika sieciowego umożliwiającego tworzenie sieci wirtualnej w obszarze hosta i pozwalającego połączyć maszyny wirtualne w obszarze jednego hosta, a także na zewnątrz sieci fizycznej. Pojedynczy przełącznik wirtualny powinien mieć możliwość konfiguracji do 4000 portów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Pojedynczy wirtualny przełącznik musi posiadać możliwość przyłączania do niego dwóch i więcej fizycznych kart sieciowych, aby zapewnić bezpieczeństwo połączenia </w:t>
            </w:r>
            <w:proofErr w:type="spellStart"/>
            <w:r w:rsidRPr="0010597E">
              <w:rPr>
                <w:lang w:val="pl-PL"/>
              </w:rPr>
              <w:t>ethernetowego</w:t>
            </w:r>
            <w:proofErr w:type="spellEnd"/>
            <w:r w:rsidRPr="0010597E">
              <w:rPr>
                <w:lang w:val="pl-PL"/>
              </w:rPr>
              <w:t xml:space="preserve"> w razie awarii karty sieciowej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rPr>
          <w:trHeight w:val="651"/>
        </w:trPr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DD5BB1" w:rsidRPr="005A0D9A" w:rsidRDefault="00DD5BB1" w:rsidP="00736BCA">
            <w:pPr>
              <w:spacing w:after="0"/>
              <w:jc w:val="left"/>
              <w:rPr>
                <w:lang w:val="pl-PL"/>
              </w:rPr>
            </w:pPr>
            <w:r w:rsidRPr="0010597E">
              <w:rPr>
                <w:lang w:val="pl-PL"/>
              </w:rPr>
              <w:t>Wirtualne przełączniki musza obsługiwać wirtualne sieci lokalne (VLAN)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Polityka licencjonowania musi umożliwiać przenoszenie licencji na oprogramowanie do wirtualizacji pomiędzy serwerami różnych producentów z zachowaniem wsparcia technicznego i zmianą wersji oprogramowania na niższą (</w:t>
            </w:r>
            <w:proofErr w:type="spellStart"/>
            <w:r w:rsidRPr="0010597E">
              <w:rPr>
                <w:lang w:val="pl-PL"/>
              </w:rPr>
              <w:t>downgrade</w:t>
            </w:r>
            <w:proofErr w:type="spellEnd"/>
            <w:r w:rsidRPr="0010597E">
              <w:rPr>
                <w:lang w:val="pl-PL"/>
              </w:rPr>
              <w:t>). Wsparcie techniczne musi być świadczone bezpośrednio przez producenta oprogramowania. Licencjonowanie nie może odbywać się w trybie OEM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Oprogramowanie zarządzające musi posiadać możliwość przydzielania i konfiguracji uprawnień z możliwością integracji z usługami katalogowymi, w szczególności Microsoft Active Directory, Open LDAP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Rozwiązanie musi posiadać wbudowany interfejs programistyczny (API) zapewniający pełną integrację zewnętrznych rozwiązań wykonywania kopii zapasowych z istniejącymi mechanizmami warstwy </w:t>
            </w:r>
            <w:proofErr w:type="spellStart"/>
            <w:r w:rsidRPr="0010597E">
              <w:rPr>
                <w:lang w:val="pl-PL"/>
              </w:rPr>
              <w:t>wirtualizacyjnej</w:t>
            </w:r>
            <w:proofErr w:type="spellEnd"/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Rozwiązanie musi zapewniać mechanizm replikacji wskazanych maszyn wirtualnych pomiędzy różnymi systemami pamięci masowych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474856">
              <w:rPr>
                <w:lang w:val="pl-PL"/>
              </w:rPr>
              <w:t xml:space="preserve">Rozwiązanie musi zawierać funkcjonalność pozwalającą na ominięcie testów inicjalizacyjnych sprzętu fizycznego w celu szybkiego startu </w:t>
            </w:r>
            <w:proofErr w:type="spellStart"/>
            <w:r w:rsidRPr="00474856">
              <w:rPr>
                <w:lang w:val="pl-PL"/>
              </w:rPr>
              <w:t>wirtualizatora</w:t>
            </w:r>
            <w:proofErr w:type="spellEnd"/>
            <w:r w:rsidRPr="00474856">
              <w:rPr>
                <w:lang w:val="pl-PL"/>
              </w:rPr>
              <w:t>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Rozwiązanie musi zawierać możliwość zabezpieczania maszyn wirtualnych przez rozwiązania antywirusowe firm trzecich bez konieczności instalacji agenta wewnątrz maszyny wirtualnej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Rozwiązanie musi mieć możliwość przenoszenia maszyn wirtualnych w czasie ich pracy, bez jakiegokolwiek przestoju i bez utraty danych, pomiędzy serwerami fizycznymi, niezależnie</w:t>
            </w:r>
            <w:r>
              <w:rPr>
                <w:lang w:val="pl-PL"/>
              </w:rPr>
              <w:t xml:space="preserve"> </w:t>
            </w:r>
            <w:r w:rsidRPr="0010597E">
              <w:rPr>
                <w:lang w:val="pl-PL"/>
              </w:rPr>
              <w:t>od</w:t>
            </w:r>
            <w:r>
              <w:rPr>
                <w:lang w:val="pl-PL"/>
              </w:rPr>
              <w:t xml:space="preserve"> </w:t>
            </w:r>
            <w:r w:rsidRPr="0010597E">
              <w:rPr>
                <w:lang w:val="pl-PL"/>
              </w:rPr>
              <w:t>dostępności współdzielonej przestrzeni dyskowej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Rozwiązanie musi mieć możliwość przenoszenia maszyn wirtualnych w czasie ich pracy, bez jakiegokolwiek przestoju i bez utraty danych, pomiędzy zasobami dyskowymi, niezależnie od dostępności współdzielonej przestrzeni dyskowej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Rozwiązanie musi mieć możliwość przenoszenia maszyn wirtualnych w czasie ich pracy, bez jakiegokolwiek przestoju i bez utraty danych, jednocześnie między serwerami fizycznymi oraz zasobami dyskowymi, niezależnie od dostępności współdzielonej przestrzeni dyskowej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Musi zostać zapewniona odpowiednia redundancja i taki mechanizm (wysokiej dostępności HA), aby w przypadku awarii lub niedostępności serwera fizycznego wybrane przez administratora i uruchomione nim wirtualne maszyny zostały uruchomione na innych serwerach z zainstalowanym oprogramowaniem </w:t>
            </w:r>
            <w:proofErr w:type="spellStart"/>
            <w:r w:rsidRPr="0010597E">
              <w:rPr>
                <w:lang w:val="pl-PL"/>
              </w:rPr>
              <w:t>wirtualizacyjnym</w:t>
            </w:r>
            <w:proofErr w:type="spellEnd"/>
            <w:r w:rsidRPr="0010597E">
              <w:rPr>
                <w:lang w:val="pl-PL"/>
              </w:rPr>
              <w:t>. Rozwiązanie musi posiadać co najmniej 2 niezależne mechanizmy wzajemnej komunikacji między serwerami oraz z serwerem zarządzającym, gwarantujące właściwe działanie mechanizmów wysokiej dostępności na wypadek izolacji sieciowej serwerów fizycznych lub partycjonowania sieci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Rozwiązanie musi zapewniać wsparcie dla wirtualizacji zagnieżdżonej, w szczególności w zakresie możliwości zastosowania wszystkich funkcjonalności w tym Hyper-V systemu Windows Server na maszynie wirtualnej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Rozwiązanie musi zapewniać możliwość dodawania zasobów w czasie pracy maszyny wirtualnej, w szczególności w zakresie ilości procesorów, pamięci operacyjnej i przestrzeni dyskowej.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 xml:space="preserve">Oprogramowanie do wirtualizacji musi zapewniać mechanizm takiego zabezpieczenia wybranych przez administratora wirtualnych maszyn, aby w przypadku awarii lub niedostępności serwera fizycznego maszyny, które na nim pracowały, były bezprzerwowo dostępne na innym serwerze z zainstalowanym oprogramowaniem </w:t>
            </w:r>
            <w:proofErr w:type="spellStart"/>
            <w:r w:rsidRPr="0010597E">
              <w:rPr>
                <w:lang w:val="pl-PL"/>
              </w:rPr>
              <w:t>wirtualizacyjnym</w:t>
            </w:r>
            <w:proofErr w:type="spellEnd"/>
            <w:r w:rsidRPr="0010597E">
              <w:rPr>
                <w:lang w:val="pl-PL"/>
              </w:rPr>
              <w:t>. Mechanizm ten umożliwia zabezpieczenie maszyn wirtualnych wyposażonych w minimum 2 wirtualne procesory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  <w:p w:rsidR="00DD5BB1" w:rsidRDefault="00DD5BB1" w:rsidP="00736BCA">
            <w:pPr>
              <w:jc w:val="center"/>
              <w:rPr>
                <w:bCs/>
              </w:rPr>
            </w:pP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474856" w:rsidRDefault="00DD5BB1" w:rsidP="00DD5BB1">
            <w:pPr>
              <w:spacing w:after="0"/>
              <w:rPr>
                <w:lang w:val="pl-PL"/>
              </w:rPr>
            </w:pPr>
            <w:r w:rsidRPr="00474856">
              <w:rPr>
                <w:lang w:val="pl-PL"/>
              </w:rPr>
              <w:t>Oprogramowanie dostarczone w formie subskrypcji ze wsparciem technicznym producenta na 12 miesięcy 24/7</w:t>
            </w:r>
          </w:p>
          <w:p w:rsidR="00DD5BB1" w:rsidRPr="005A0D9A" w:rsidRDefault="00DD5BB1" w:rsidP="00DD5BB1">
            <w:pPr>
              <w:spacing w:after="0"/>
              <w:rPr>
                <w:lang w:val="pl-PL"/>
              </w:rPr>
            </w:pP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DD5BB1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DD5BB1" w:rsidRPr="006A0F40" w:rsidRDefault="00DD5BB1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69</w:t>
            </w:r>
          </w:p>
        </w:tc>
        <w:tc>
          <w:tcPr>
            <w:tcW w:w="7321" w:type="dxa"/>
            <w:gridSpan w:val="3"/>
            <w:shd w:val="clear" w:color="auto" w:fill="FFFFFF" w:themeFill="background1"/>
          </w:tcPr>
          <w:p w:rsidR="00DD5BB1" w:rsidRPr="005A0D9A" w:rsidRDefault="00DD5BB1" w:rsidP="00DD5BB1">
            <w:pPr>
              <w:spacing w:after="0"/>
              <w:rPr>
                <w:lang w:val="pl-PL"/>
              </w:rPr>
            </w:pPr>
            <w:r w:rsidRPr="0010597E">
              <w:rPr>
                <w:lang w:val="pl-PL"/>
              </w:rPr>
              <w:t>Oprogramowanie musi obsługiwać 2 serwery, każdy z dwoma procesorami szesnastordzeniowymi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DD5BB1" w:rsidRDefault="00DD5BB1" w:rsidP="00736BCA">
            <w:pPr>
              <w:jc w:val="center"/>
              <w:rPr>
                <w:bCs/>
              </w:rPr>
            </w:pPr>
            <w:r>
              <w:rPr>
                <w:bCs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DD5BB1" w:rsidRPr="0010597E" w:rsidRDefault="00DD5BB1" w:rsidP="00DD5BB1">
            <w:pPr>
              <w:jc w:val="left"/>
              <w:rPr>
                <w:bCs/>
              </w:rPr>
            </w:pPr>
          </w:p>
        </w:tc>
      </w:tr>
      <w:tr w:rsidR="00301FDD" w:rsidRPr="0010597E" w:rsidTr="00A92F29">
        <w:tc>
          <w:tcPr>
            <w:tcW w:w="9301" w:type="dxa"/>
            <w:gridSpan w:val="6"/>
            <w:shd w:val="clear" w:color="auto" w:fill="FFFFFF" w:themeFill="background1"/>
          </w:tcPr>
          <w:p w:rsidR="00301FDD" w:rsidRPr="0010597E" w:rsidRDefault="00301FDD" w:rsidP="00301FDD">
            <w:pPr>
              <w:jc w:val="left"/>
              <w:rPr>
                <w:bCs/>
                <w:lang w:val="pl-PL"/>
              </w:rPr>
            </w:pPr>
          </w:p>
        </w:tc>
      </w:tr>
      <w:tr w:rsidR="00301FDD" w:rsidRPr="0010597E" w:rsidTr="00736BCA">
        <w:tc>
          <w:tcPr>
            <w:tcW w:w="570" w:type="dxa"/>
            <w:shd w:val="clear" w:color="auto" w:fill="D0CECE" w:themeFill="background2" w:themeFillShade="E6"/>
          </w:tcPr>
          <w:p w:rsidR="00301FDD" w:rsidRPr="00B62108" w:rsidRDefault="00301FDD" w:rsidP="00301FDD">
            <w:pPr>
              <w:pStyle w:val="Default"/>
              <w:rPr>
                <w:rFonts w:ascii="Times New Roman" w:hAnsi="Times New Roman" w:cs="Times New Roman"/>
                <w:b/>
                <w:lang w:val="pl-PL"/>
              </w:rPr>
            </w:pPr>
            <w:r w:rsidRPr="00B62108">
              <w:rPr>
                <w:rFonts w:ascii="Times New Roman" w:hAnsi="Times New Roman" w:cs="Times New Roman"/>
                <w:b/>
                <w:lang w:val="pl-PL"/>
              </w:rPr>
              <w:t>IV</w:t>
            </w:r>
          </w:p>
        </w:tc>
        <w:tc>
          <w:tcPr>
            <w:tcW w:w="8731" w:type="dxa"/>
            <w:gridSpan w:val="5"/>
            <w:shd w:val="clear" w:color="auto" w:fill="D0CECE" w:themeFill="background2" w:themeFillShade="E6"/>
          </w:tcPr>
          <w:p w:rsidR="00301FDD" w:rsidRPr="0010597E" w:rsidRDefault="00301FDD" w:rsidP="00BD4A0A">
            <w:pPr>
              <w:jc w:val="left"/>
              <w:rPr>
                <w:b/>
                <w:bCs/>
                <w:lang w:val="pl-PL"/>
              </w:rPr>
            </w:pPr>
            <w:r w:rsidRPr="0010597E">
              <w:rPr>
                <w:b/>
                <w:bCs/>
                <w:lang w:val="pl-PL"/>
              </w:rPr>
              <w:t xml:space="preserve">Szafa </w:t>
            </w:r>
            <w:proofErr w:type="spellStart"/>
            <w:r w:rsidRPr="0010597E">
              <w:rPr>
                <w:b/>
                <w:bCs/>
                <w:lang w:val="pl-PL"/>
              </w:rPr>
              <w:t>Rack</w:t>
            </w:r>
            <w:proofErr w:type="spellEnd"/>
            <w:r w:rsidR="00BD4A0A">
              <w:rPr>
                <w:b/>
                <w:bCs/>
                <w:lang w:val="pl-PL"/>
              </w:rPr>
              <w:t xml:space="preserve"> </w:t>
            </w:r>
            <w:r w:rsidR="00BD4A0A" w:rsidRPr="0010597E">
              <w:rPr>
                <w:b/>
                <w:bCs/>
                <w:lang w:val="pl-PL"/>
              </w:rPr>
              <w:t xml:space="preserve">- </w:t>
            </w:r>
            <w:r w:rsidR="00BD4A0A">
              <w:rPr>
                <w:b/>
                <w:bCs/>
                <w:lang w:val="pl-PL"/>
              </w:rPr>
              <w:t>1</w:t>
            </w:r>
            <w:r w:rsidR="00BD4A0A" w:rsidRPr="0010597E">
              <w:rPr>
                <w:b/>
                <w:bCs/>
                <w:lang w:val="pl-PL"/>
              </w:rPr>
              <w:t xml:space="preserve"> szt.</w:t>
            </w: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70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jc w:val="left"/>
              <w:rPr>
                <w:szCs w:val="24"/>
                <w:lang w:val="pl-PL"/>
              </w:rPr>
            </w:pPr>
            <w:r w:rsidRPr="0010597E">
              <w:rPr>
                <w:rFonts w:eastAsia="Aptos"/>
                <w:lang w:val="pl-PL"/>
              </w:rPr>
              <w:t>Wysokość 42U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71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jc w:val="left"/>
              <w:rPr>
                <w:szCs w:val="24"/>
                <w:lang w:val="pl-PL"/>
              </w:rPr>
            </w:pPr>
            <w:r w:rsidRPr="0010597E">
              <w:rPr>
                <w:rFonts w:eastAsia="Aptos"/>
                <w:lang w:val="pl-PL"/>
              </w:rPr>
              <w:t>Szerokość 800 mm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72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>Głębokość 1000 mm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73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>Szkielet skręcany, możliwość demontażu szkieletu na: płytę dolną, płytę górną, cztery słupy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74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>Szerokość szyn montażowych 482,6 mm (19 cali)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75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pStyle w:val="Bezodstpw"/>
              <w:rPr>
                <w:rFonts w:ascii="Times New Roman" w:eastAsia="Aptos" w:hAnsi="Times New Roman" w:cs="Times New Roman"/>
                <w:lang w:val="pl-PL"/>
              </w:rPr>
            </w:pPr>
            <w:r w:rsidRPr="0010597E">
              <w:rPr>
                <w:rFonts w:ascii="Times New Roman" w:eastAsia="Aptos" w:hAnsi="Times New Roman" w:cs="Times New Roman"/>
                <w:lang w:val="pl-PL"/>
              </w:rPr>
              <w:t>Dwie pary belek nośnych 19 cali o płynnej regulacji położenia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76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>Drzwi przednie metalowe, jednoskrzydłowe, perforowane (prześwit min. 80%) z zamkiem trzypunktowym z klamką, możliwość zmiany kierunku otwierania drzwi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77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>Drzwi tylne metalowe, dwuskrzydłowe, perforowane (prześwit min. 80%) z zamkiem trzypunktowym z klamką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78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>Kąt otwarcia drzwi przednich i tylnych min. 270°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79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pStyle w:val="Bezodstpw"/>
              <w:rPr>
                <w:rFonts w:ascii="Times New Roman" w:eastAsia="Aptos" w:hAnsi="Times New Roman" w:cs="Times New Roman"/>
                <w:lang w:val="pl-PL"/>
              </w:rPr>
            </w:pPr>
            <w:r w:rsidRPr="0010597E">
              <w:rPr>
                <w:rFonts w:ascii="Times New Roman" w:eastAsia="Aptos" w:hAnsi="Times New Roman" w:cs="Times New Roman"/>
                <w:lang w:val="pl-PL"/>
              </w:rPr>
              <w:t>Ściągane dwie osłony boczne, pełne z zamkami jednopunktowymi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80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pStyle w:val="Bezodstpw"/>
              <w:rPr>
                <w:rFonts w:ascii="Times New Roman" w:eastAsia="Aptos" w:hAnsi="Times New Roman" w:cs="Times New Roman"/>
                <w:lang w:val="pl-PL"/>
              </w:rPr>
            </w:pPr>
            <w:r w:rsidRPr="0010597E">
              <w:rPr>
                <w:rFonts w:ascii="Times New Roman" w:eastAsia="Aptos" w:hAnsi="Times New Roman" w:cs="Times New Roman"/>
                <w:lang w:val="pl-PL"/>
              </w:rPr>
              <w:t>Możliwość łączenia szaf w układy szeregowe oraz zabudowy typu Data Box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81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>Otwory kablowe w płycie dolnej i górnej o szerokości min. 70 mm, wszystkie otwory zamknięte wyłamywanymi zaślepkami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82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>Stopki poziomujące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83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>Zestaw przewodów uziemiających drzwi i osłon bocznych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84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>Numeracja jednostek U na belkach nośnych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85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 xml:space="preserve">Obciążenie dopuszczalne 1500 kg 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86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>Szkielet, osłony, drzwi, belki nośne, ceowniki wykonane z blachy stalowej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87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>Szkielet, osłony, drzwi malowane farbą proszkową, kolor czarny, np. RAL 9005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88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spacing w:line="276" w:lineRule="auto"/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 xml:space="preserve">Belki nośne, ceowniki pokryte </w:t>
            </w:r>
            <w:proofErr w:type="spellStart"/>
            <w:r w:rsidRPr="0010597E">
              <w:rPr>
                <w:rFonts w:eastAsia="Aptos"/>
                <w:lang w:val="pl-PL"/>
              </w:rPr>
              <w:t>ocynk</w:t>
            </w:r>
            <w:proofErr w:type="spellEnd"/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B62108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B62108" w:rsidRPr="006A0F40" w:rsidRDefault="00B62108" w:rsidP="00736BCA">
            <w:pPr>
              <w:pStyle w:val="Defaul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6A0F40">
              <w:rPr>
                <w:rFonts w:ascii="Times New Roman" w:hAnsi="Times New Roman" w:cs="Times New Roman"/>
                <w:lang w:val="pl-PL"/>
              </w:rPr>
              <w:t>89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B62108" w:rsidRPr="0010597E" w:rsidRDefault="00B62108" w:rsidP="00B62108">
            <w:pPr>
              <w:spacing w:line="276" w:lineRule="auto"/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 xml:space="preserve">Stopień ochrony IP 20 zgodnie z normą PN-EN 60529 </w:t>
            </w:r>
            <w:r w:rsidR="00736BCA">
              <w:rPr>
                <w:rFonts w:eastAsia="Aptos"/>
                <w:lang w:val="pl-PL"/>
              </w:rPr>
              <w:t xml:space="preserve">lub równoważną </w:t>
            </w:r>
            <w:r w:rsidRPr="0010597E">
              <w:rPr>
                <w:rFonts w:eastAsia="Aptos"/>
                <w:lang w:val="pl-PL"/>
              </w:rPr>
              <w:t>(nie dotyczy ewentualnych przepustów szczotkowych)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B62108" w:rsidRPr="0010597E" w:rsidRDefault="00B62108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B62108" w:rsidRPr="0010597E" w:rsidRDefault="00B62108" w:rsidP="00B62108">
            <w:pPr>
              <w:jc w:val="left"/>
              <w:rPr>
                <w:bCs/>
                <w:lang w:val="pl-PL"/>
              </w:rPr>
            </w:pPr>
          </w:p>
        </w:tc>
      </w:tr>
      <w:tr w:rsidR="00983E7F" w:rsidRPr="0010597E" w:rsidTr="00736BCA">
        <w:tc>
          <w:tcPr>
            <w:tcW w:w="9301" w:type="dxa"/>
            <w:gridSpan w:val="6"/>
            <w:shd w:val="clear" w:color="auto" w:fill="D0CECE" w:themeFill="background2" w:themeFillShade="E6"/>
            <w:vAlign w:val="center"/>
          </w:tcPr>
          <w:p w:rsidR="00983E7F" w:rsidRPr="0010597E" w:rsidRDefault="00983E7F" w:rsidP="00736BCA">
            <w:pPr>
              <w:jc w:val="left"/>
              <w:rPr>
                <w:bCs/>
              </w:rPr>
            </w:pPr>
            <w:r w:rsidRPr="001E5BC1">
              <w:rPr>
                <w:rFonts w:eastAsia="Aptos"/>
                <w:lang w:val="pl-PL"/>
              </w:rPr>
              <w:t>Wyposażenie dodatkowe</w:t>
            </w:r>
          </w:p>
        </w:tc>
      </w:tr>
      <w:tr w:rsidR="00983E7F" w:rsidRPr="0010597E" w:rsidTr="00736BCA">
        <w:tc>
          <w:tcPr>
            <w:tcW w:w="570" w:type="dxa"/>
            <w:shd w:val="clear" w:color="auto" w:fill="FFFFFF" w:themeFill="background1"/>
            <w:vAlign w:val="center"/>
          </w:tcPr>
          <w:p w:rsidR="00983E7F" w:rsidRPr="006A0F40" w:rsidRDefault="00983E7F" w:rsidP="00736BC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A0F4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321" w:type="dxa"/>
            <w:gridSpan w:val="3"/>
            <w:shd w:val="clear" w:color="auto" w:fill="FFFFFF" w:themeFill="background1"/>
            <w:vAlign w:val="center"/>
          </w:tcPr>
          <w:p w:rsidR="00983E7F" w:rsidRPr="0010597E" w:rsidRDefault="00983E7F" w:rsidP="00B62108">
            <w:pPr>
              <w:jc w:val="left"/>
              <w:rPr>
                <w:lang w:val="pl-PL"/>
              </w:rPr>
            </w:pPr>
            <w:r w:rsidRPr="0010597E">
              <w:rPr>
                <w:rFonts w:eastAsia="Aptos"/>
                <w:lang w:val="pl-PL"/>
              </w:rPr>
              <w:t>Pólka 1U mocowana na 4 belkach nośnych, nośność 150 kg, kolor czarny, np. RAL 9005</w:t>
            </w:r>
          </w:p>
          <w:p w:rsidR="00983E7F" w:rsidRPr="0010597E" w:rsidRDefault="00983E7F" w:rsidP="00B62108">
            <w:pPr>
              <w:jc w:val="left"/>
              <w:rPr>
                <w:rFonts w:eastAsia="Aptos"/>
                <w:lang w:val="pl-PL"/>
              </w:rPr>
            </w:pPr>
            <w:r w:rsidRPr="0010597E">
              <w:rPr>
                <w:rFonts w:eastAsia="Aptos"/>
                <w:lang w:val="pl-PL"/>
              </w:rPr>
              <w:t xml:space="preserve">2 szt. listew zasilających 16A, 1U do montażu w szafie </w:t>
            </w:r>
            <w:proofErr w:type="spellStart"/>
            <w:r w:rsidRPr="0010597E">
              <w:rPr>
                <w:rFonts w:eastAsia="Aptos"/>
                <w:lang w:val="pl-PL"/>
              </w:rPr>
              <w:t>Rack</w:t>
            </w:r>
            <w:proofErr w:type="spellEnd"/>
            <w:r w:rsidRPr="0010597E">
              <w:rPr>
                <w:rFonts w:eastAsia="Aptos"/>
                <w:lang w:val="pl-PL"/>
              </w:rPr>
              <w:t xml:space="preserve"> 19 cali, min. 8 gniazd typu E (CEE 7/5), przewód zasilający o długości min. 1,8 m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983E7F" w:rsidRPr="0010597E" w:rsidRDefault="00983E7F" w:rsidP="00736BCA">
            <w:pPr>
              <w:jc w:val="center"/>
              <w:rPr>
                <w:bCs/>
                <w:lang w:val="pl-PL"/>
              </w:rPr>
            </w:pPr>
            <w:r w:rsidRPr="0010597E">
              <w:rPr>
                <w:bCs/>
                <w:lang w:val="pl-PL"/>
              </w:rPr>
              <w:t>TAK</w:t>
            </w:r>
          </w:p>
        </w:tc>
        <w:tc>
          <w:tcPr>
            <w:tcW w:w="700" w:type="dxa"/>
            <w:shd w:val="clear" w:color="auto" w:fill="FFFFFF" w:themeFill="background1"/>
          </w:tcPr>
          <w:p w:rsidR="00983E7F" w:rsidRPr="0010597E" w:rsidRDefault="00983E7F" w:rsidP="00B62108">
            <w:pPr>
              <w:jc w:val="left"/>
              <w:rPr>
                <w:bCs/>
                <w:lang w:val="pl-PL"/>
              </w:rPr>
            </w:pPr>
          </w:p>
        </w:tc>
      </w:tr>
    </w:tbl>
    <w:p w:rsidR="0010597E" w:rsidRDefault="0010597E" w:rsidP="00C26CE4">
      <w:pPr>
        <w:jc w:val="left"/>
      </w:pPr>
    </w:p>
    <w:p w:rsidR="00474856" w:rsidRPr="0010597E" w:rsidRDefault="00474856" w:rsidP="00C26CE4">
      <w:pPr>
        <w:jc w:val="left"/>
      </w:pPr>
    </w:p>
    <w:p w:rsidR="009E109E" w:rsidRPr="003B0704" w:rsidRDefault="009E109E" w:rsidP="009E109E">
      <w:pPr>
        <w:rPr>
          <w:szCs w:val="24"/>
        </w:rPr>
      </w:pPr>
      <w:r w:rsidRPr="003B0704">
        <w:rPr>
          <w:szCs w:val="24"/>
        </w:rPr>
        <w:t xml:space="preserve">Zamawiający </w:t>
      </w:r>
      <w:r w:rsidR="00B969A5" w:rsidRPr="003B0704">
        <w:rPr>
          <w:szCs w:val="24"/>
        </w:rPr>
        <w:t>wymaga</w:t>
      </w:r>
      <w:r w:rsidR="00F85F9E" w:rsidRPr="003B0704">
        <w:rPr>
          <w:szCs w:val="24"/>
        </w:rPr>
        <w:t xml:space="preserve"> zgodnie z zapisami ust.</w:t>
      </w:r>
      <w:r w:rsidR="002A4D51" w:rsidRPr="003B0704">
        <w:rPr>
          <w:szCs w:val="24"/>
        </w:rPr>
        <w:t xml:space="preserve"> 13</w:t>
      </w:r>
      <w:r w:rsidR="00F85F9E" w:rsidRPr="003B0704">
        <w:rPr>
          <w:szCs w:val="24"/>
        </w:rPr>
        <w:t xml:space="preserve"> części</w:t>
      </w:r>
      <w:r w:rsidR="002A4D51" w:rsidRPr="003B0704">
        <w:rPr>
          <w:szCs w:val="24"/>
        </w:rPr>
        <w:t xml:space="preserve"> XI</w:t>
      </w:r>
      <w:r w:rsidR="00761E1C" w:rsidRPr="003B0704">
        <w:rPr>
          <w:szCs w:val="24"/>
        </w:rPr>
        <w:t xml:space="preserve"> SWZ</w:t>
      </w:r>
      <w:r w:rsidR="00057EF0" w:rsidRPr="003B0704">
        <w:rPr>
          <w:szCs w:val="24"/>
        </w:rPr>
        <w:t>:</w:t>
      </w:r>
    </w:p>
    <w:p w:rsidR="009E109E" w:rsidRPr="003B0704" w:rsidRDefault="009E109E" w:rsidP="009E109E">
      <w:pPr>
        <w:ind w:left="284" w:hanging="284"/>
        <w:rPr>
          <w:szCs w:val="24"/>
        </w:rPr>
      </w:pPr>
      <w:r w:rsidRPr="003B0704">
        <w:rPr>
          <w:szCs w:val="24"/>
        </w:rPr>
        <w:t>* - potwierdzenia spełnienia wymaganych parametrów technicznych poprzez wpisanie słowa „TAK” w odpowiednim (każdym) wierszu kolumny „d”</w:t>
      </w:r>
    </w:p>
    <w:sectPr w:rsidR="009E109E" w:rsidRPr="003B0704" w:rsidSect="00DB230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FF2C96" w16cex:dateUtc="2023-11-15T10:40:00Z"/>
  <w16cex:commentExtensible w16cex:durableId="28FF3977" w16cex:dateUtc="2023-11-15T11:35:00Z"/>
  <w16cex:commentExtensible w16cex:durableId="28FF2CB7" w16cex:dateUtc="2023-11-15T10:40:00Z"/>
  <w16cex:commentExtensible w16cex:durableId="28FF2F6F" w16cex:dateUtc="2023-11-15T10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BCA" w:rsidRDefault="00736BCA" w:rsidP="00D84C1B">
      <w:pPr>
        <w:spacing w:after="0"/>
      </w:pPr>
      <w:r>
        <w:separator/>
      </w:r>
    </w:p>
  </w:endnote>
  <w:endnote w:type="continuationSeparator" w:id="0">
    <w:p w:rsidR="00736BCA" w:rsidRDefault="00736BCA" w:rsidP="00D84C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BCA" w:rsidRDefault="00736BCA">
    <w:pPr>
      <w:pStyle w:val="Stopka"/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F6DED7" wp14:editId="02CFD3D2">
              <wp:simplePos x="0" y="0"/>
              <wp:positionH relativeFrom="margin">
                <wp:align>center</wp:align>
              </wp:positionH>
              <wp:positionV relativeFrom="paragraph">
                <wp:posOffset>134635</wp:posOffset>
              </wp:positionV>
              <wp:extent cx="7200900" cy="9525"/>
              <wp:effectExtent l="0" t="0" r="19050" b="28575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A5031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BC84FBB" id="Łącznik prosty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0.6pt" to="56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" strokecolor="#a50310" strokeweight="1.25pt">
              <v:stroke joinstyle="miter"/>
              <w10:wrap anchorx="margin"/>
            </v:line>
          </w:pict>
        </mc:Fallback>
      </mc:AlternateContent>
    </w:r>
  </w:p>
  <w:p w:rsidR="00736BCA" w:rsidRDefault="00736BCA">
    <w:pPr>
      <w:pStyle w:val="Stopka"/>
    </w:pPr>
    <w:r>
      <w:rPr>
        <w:noProof/>
        <w:lang w:eastAsia="pl-PL"/>
      </w:rPr>
      <w:drawing>
        <wp:inline distT="0" distB="0" distL="0" distR="0" wp14:anchorId="336D2C2D">
          <wp:extent cx="5761355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BCA" w:rsidRDefault="00736BCA" w:rsidP="00D84C1B">
      <w:pPr>
        <w:spacing w:after="0"/>
      </w:pPr>
      <w:r>
        <w:separator/>
      </w:r>
    </w:p>
  </w:footnote>
  <w:footnote w:type="continuationSeparator" w:id="0">
    <w:p w:rsidR="00736BCA" w:rsidRDefault="00736BCA" w:rsidP="00D84C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BCA" w:rsidRDefault="00736BCA">
    <w:pPr>
      <w:pStyle w:val="Nagwek"/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F6DED7" wp14:editId="02CFD3D2">
              <wp:simplePos x="0" y="0"/>
              <wp:positionH relativeFrom="page">
                <wp:align>right</wp:align>
              </wp:positionH>
              <wp:positionV relativeFrom="paragraph">
                <wp:posOffset>885190</wp:posOffset>
              </wp:positionV>
              <wp:extent cx="72009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A5031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C01E2D8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515.8pt,69.7pt" to="1082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" strokecolor="#a50310" strokeweight="1.25pt">
              <v:stroke joinstyle="miter"/>
              <w10:wrap anchorx="page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7B15081" wp14:editId="686A4C30">
          <wp:simplePos x="0" y="0"/>
          <wp:positionH relativeFrom="column">
            <wp:posOffset>0</wp:posOffset>
          </wp:positionH>
          <wp:positionV relativeFrom="paragraph">
            <wp:posOffset>174625</wp:posOffset>
          </wp:positionV>
          <wp:extent cx="5892800" cy="666007"/>
          <wp:effectExtent l="0" t="0" r="0" b="1270"/>
          <wp:wrapTight wrapText="bothSides">
            <wp:wrapPolygon edited="0">
              <wp:start x="0" y="0"/>
              <wp:lineTo x="0" y="21023"/>
              <wp:lineTo x="21507" y="21023"/>
              <wp:lineTo x="21507" y="0"/>
              <wp:lineTo x="0" y="0"/>
            </wp:wrapPolygon>
          </wp:wrapTight>
          <wp:docPr id="60" name="Obraz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92800" cy="6660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74EF"/>
    <w:multiLevelType w:val="hybridMultilevel"/>
    <w:tmpl w:val="7EAADE0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4733E5"/>
    <w:multiLevelType w:val="hybridMultilevel"/>
    <w:tmpl w:val="DF2E8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D6CC9"/>
    <w:multiLevelType w:val="hybridMultilevel"/>
    <w:tmpl w:val="9BC4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2629" w:hanging="360"/>
      </w:pPr>
    </w:lvl>
    <w:lvl w:ilvl="2" w:tplc="E112FBCA">
      <w:numFmt w:val="bullet"/>
      <w:lvlText w:val="·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764D9"/>
    <w:multiLevelType w:val="hybridMultilevel"/>
    <w:tmpl w:val="62F0FC2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2F613EC"/>
    <w:multiLevelType w:val="hybridMultilevel"/>
    <w:tmpl w:val="F83A8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D1D1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A2454D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00C0393"/>
    <w:multiLevelType w:val="hybridMultilevel"/>
    <w:tmpl w:val="8604B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E74D9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0DC4FCA"/>
    <w:multiLevelType w:val="hybridMultilevel"/>
    <w:tmpl w:val="D490515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3E9628F"/>
    <w:multiLevelType w:val="multilevel"/>
    <w:tmpl w:val="A7A01802"/>
    <w:styleLink w:val="WWNum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5FD47FD0"/>
    <w:multiLevelType w:val="hybridMultilevel"/>
    <w:tmpl w:val="508C7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2F1B8A"/>
    <w:multiLevelType w:val="hybridMultilevel"/>
    <w:tmpl w:val="52701834"/>
    <w:lvl w:ilvl="0" w:tplc="3C46D79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C96730"/>
    <w:multiLevelType w:val="hybridMultilevel"/>
    <w:tmpl w:val="286077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12"/>
  </w:num>
  <w:num w:numId="10">
    <w:abstractNumId w:val="8"/>
  </w:num>
  <w:num w:numId="11">
    <w:abstractNumId w:val="7"/>
  </w:num>
  <w:num w:numId="12">
    <w:abstractNumId w:val="5"/>
  </w:num>
  <w:num w:numId="13">
    <w:abstractNumId w:val="6"/>
  </w:num>
  <w:num w:numId="14">
    <w:abstractNumId w:val="13"/>
  </w:num>
  <w:num w:numId="1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09E"/>
    <w:rsid w:val="000014A5"/>
    <w:rsid w:val="00004D10"/>
    <w:rsid w:val="0002226D"/>
    <w:rsid w:val="00024260"/>
    <w:rsid w:val="00031519"/>
    <w:rsid w:val="00036A52"/>
    <w:rsid w:val="00040717"/>
    <w:rsid w:val="00051723"/>
    <w:rsid w:val="00057EF0"/>
    <w:rsid w:val="000720AF"/>
    <w:rsid w:val="000728E4"/>
    <w:rsid w:val="00074928"/>
    <w:rsid w:val="000804C8"/>
    <w:rsid w:val="00084DE5"/>
    <w:rsid w:val="0008687A"/>
    <w:rsid w:val="00092C26"/>
    <w:rsid w:val="000967AE"/>
    <w:rsid w:val="000A2A6B"/>
    <w:rsid w:val="000A520E"/>
    <w:rsid w:val="000B2E34"/>
    <w:rsid w:val="000C4D0E"/>
    <w:rsid w:val="000C7E81"/>
    <w:rsid w:val="000E59D0"/>
    <w:rsid w:val="000E7781"/>
    <w:rsid w:val="000F0F7D"/>
    <w:rsid w:val="000F1A8B"/>
    <w:rsid w:val="000F2282"/>
    <w:rsid w:val="000F39F5"/>
    <w:rsid w:val="000F3DC5"/>
    <w:rsid w:val="0010597E"/>
    <w:rsid w:val="00112537"/>
    <w:rsid w:val="001154A7"/>
    <w:rsid w:val="00120722"/>
    <w:rsid w:val="001361DE"/>
    <w:rsid w:val="001372AB"/>
    <w:rsid w:val="00144554"/>
    <w:rsid w:val="00151E76"/>
    <w:rsid w:val="001524A9"/>
    <w:rsid w:val="00163CF7"/>
    <w:rsid w:val="00165E9C"/>
    <w:rsid w:val="00172909"/>
    <w:rsid w:val="00173D0A"/>
    <w:rsid w:val="00176695"/>
    <w:rsid w:val="00187B14"/>
    <w:rsid w:val="00192F2C"/>
    <w:rsid w:val="001A0CF3"/>
    <w:rsid w:val="001A1625"/>
    <w:rsid w:val="001A204D"/>
    <w:rsid w:val="001A26F4"/>
    <w:rsid w:val="001A3BD0"/>
    <w:rsid w:val="001B20C4"/>
    <w:rsid w:val="001B3696"/>
    <w:rsid w:val="001C34C9"/>
    <w:rsid w:val="001C34DC"/>
    <w:rsid w:val="001C3610"/>
    <w:rsid w:val="001C4A04"/>
    <w:rsid w:val="001C51B6"/>
    <w:rsid w:val="001C5697"/>
    <w:rsid w:val="001C696E"/>
    <w:rsid w:val="001D3FF4"/>
    <w:rsid w:val="001E366D"/>
    <w:rsid w:val="001E5BC1"/>
    <w:rsid w:val="001E5C22"/>
    <w:rsid w:val="001E760D"/>
    <w:rsid w:val="001F26E7"/>
    <w:rsid w:val="0020229F"/>
    <w:rsid w:val="002031E6"/>
    <w:rsid w:val="00204559"/>
    <w:rsid w:val="00211EB7"/>
    <w:rsid w:val="00212598"/>
    <w:rsid w:val="00213C7A"/>
    <w:rsid w:val="00217539"/>
    <w:rsid w:val="0023425F"/>
    <w:rsid w:val="00235EF6"/>
    <w:rsid w:val="002401B3"/>
    <w:rsid w:val="00250047"/>
    <w:rsid w:val="002561B4"/>
    <w:rsid w:val="00262FDC"/>
    <w:rsid w:val="00293165"/>
    <w:rsid w:val="002A4D51"/>
    <w:rsid w:val="002A7602"/>
    <w:rsid w:val="002C42F6"/>
    <w:rsid w:val="002C48B2"/>
    <w:rsid w:val="002C73EF"/>
    <w:rsid w:val="002D7C5F"/>
    <w:rsid w:val="002E1FF7"/>
    <w:rsid w:val="002E6DDF"/>
    <w:rsid w:val="002F1400"/>
    <w:rsid w:val="002F141C"/>
    <w:rsid w:val="00301FDD"/>
    <w:rsid w:val="0031305B"/>
    <w:rsid w:val="00317F8C"/>
    <w:rsid w:val="00321348"/>
    <w:rsid w:val="003233A3"/>
    <w:rsid w:val="003235D7"/>
    <w:rsid w:val="00325F72"/>
    <w:rsid w:val="00326A0F"/>
    <w:rsid w:val="003325F5"/>
    <w:rsid w:val="00334EC0"/>
    <w:rsid w:val="00335207"/>
    <w:rsid w:val="00337347"/>
    <w:rsid w:val="003425E0"/>
    <w:rsid w:val="0034409E"/>
    <w:rsid w:val="00351167"/>
    <w:rsid w:val="0035417E"/>
    <w:rsid w:val="003557A9"/>
    <w:rsid w:val="003569CC"/>
    <w:rsid w:val="0036203F"/>
    <w:rsid w:val="003648BB"/>
    <w:rsid w:val="00365DBB"/>
    <w:rsid w:val="00371ACE"/>
    <w:rsid w:val="00372077"/>
    <w:rsid w:val="00373AB4"/>
    <w:rsid w:val="00374801"/>
    <w:rsid w:val="0038284C"/>
    <w:rsid w:val="003845B5"/>
    <w:rsid w:val="003949DA"/>
    <w:rsid w:val="00394F2F"/>
    <w:rsid w:val="003B0704"/>
    <w:rsid w:val="003B13ED"/>
    <w:rsid w:val="003B1C84"/>
    <w:rsid w:val="003B3C4E"/>
    <w:rsid w:val="003C63D8"/>
    <w:rsid w:val="003C6FE6"/>
    <w:rsid w:val="003C734D"/>
    <w:rsid w:val="003D246B"/>
    <w:rsid w:val="003D6AA6"/>
    <w:rsid w:val="003D7121"/>
    <w:rsid w:val="003E28A7"/>
    <w:rsid w:val="003E3A64"/>
    <w:rsid w:val="003E69A4"/>
    <w:rsid w:val="003E6E81"/>
    <w:rsid w:val="003F2897"/>
    <w:rsid w:val="004009A6"/>
    <w:rsid w:val="00404B08"/>
    <w:rsid w:val="00411A18"/>
    <w:rsid w:val="00413AE9"/>
    <w:rsid w:val="00416FA9"/>
    <w:rsid w:val="00417258"/>
    <w:rsid w:val="00417BF5"/>
    <w:rsid w:val="0042141A"/>
    <w:rsid w:val="00421E41"/>
    <w:rsid w:val="004277EA"/>
    <w:rsid w:val="004347C8"/>
    <w:rsid w:val="00441FAB"/>
    <w:rsid w:val="00447515"/>
    <w:rsid w:val="0044754E"/>
    <w:rsid w:val="004573BC"/>
    <w:rsid w:val="00460633"/>
    <w:rsid w:val="0046108B"/>
    <w:rsid w:val="00463C6F"/>
    <w:rsid w:val="00464CBF"/>
    <w:rsid w:val="004724D8"/>
    <w:rsid w:val="00474856"/>
    <w:rsid w:val="00482CCD"/>
    <w:rsid w:val="00484EA0"/>
    <w:rsid w:val="00496E50"/>
    <w:rsid w:val="004A2612"/>
    <w:rsid w:val="004C4235"/>
    <w:rsid w:val="004C63F6"/>
    <w:rsid w:val="004C69D7"/>
    <w:rsid w:val="004C7FE2"/>
    <w:rsid w:val="004D5E3C"/>
    <w:rsid w:val="004D7B12"/>
    <w:rsid w:val="004E5D31"/>
    <w:rsid w:val="004F0762"/>
    <w:rsid w:val="004F7BA0"/>
    <w:rsid w:val="005011CB"/>
    <w:rsid w:val="0050231C"/>
    <w:rsid w:val="00503532"/>
    <w:rsid w:val="00503F72"/>
    <w:rsid w:val="005064F1"/>
    <w:rsid w:val="00512811"/>
    <w:rsid w:val="0051370B"/>
    <w:rsid w:val="0052293D"/>
    <w:rsid w:val="00524C15"/>
    <w:rsid w:val="005301F4"/>
    <w:rsid w:val="00532F25"/>
    <w:rsid w:val="0053381D"/>
    <w:rsid w:val="00540371"/>
    <w:rsid w:val="0054357D"/>
    <w:rsid w:val="005572C2"/>
    <w:rsid w:val="00572BC2"/>
    <w:rsid w:val="005802B3"/>
    <w:rsid w:val="0058386C"/>
    <w:rsid w:val="005A0D9A"/>
    <w:rsid w:val="005A17A1"/>
    <w:rsid w:val="005A3C16"/>
    <w:rsid w:val="005B2094"/>
    <w:rsid w:val="005B636F"/>
    <w:rsid w:val="005C0F91"/>
    <w:rsid w:val="005C5AAC"/>
    <w:rsid w:val="005D1070"/>
    <w:rsid w:val="005D3710"/>
    <w:rsid w:val="005D761E"/>
    <w:rsid w:val="005E0714"/>
    <w:rsid w:val="005F3C2F"/>
    <w:rsid w:val="00605740"/>
    <w:rsid w:val="00610520"/>
    <w:rsid w:val="0061673B"/>
    <w:rsid w:val="00616E86"/>
    <w:rsid w:val="00627F0F"/>
    <w:rsid w:val="0063437B"/>
    <w:rsid w:val="0063647A"/>
    <w:rsid w:val="00637E19"/>
    <w:rsid w:val="0064418A"/>
    <w:rsid w:val="00646DB0"/>
    <w:rsid w:val="00654D49"/>
    <w:rsid w:val="00660DE4"/>
    <w:rsid w:val="00663461"/>
    <w:rsid w:val="00666380"/>
    <w:rsid w:val="00667984"/>
    <w:rsid w:val="00670B1D"/>
    <w:rsid w:val="0067390D"/>
    <w:rsid w:val="00674593"/>
    <w:rsid w:val="00690F0F"/>
    <w:rsid w:val="00691BC8"/>
    <w:rsid w:val="00695825"/>
    <w:rsid w:val="006A5781"/>
    <w:rsid w:val="006A60BF"/>
    <w:rsid w:val="006B72D4"/>
    <w:rsid w:val="006D2C2F"/>
    <w:rsid w:val="006E0E6C"/>
    <w:rsid w:val="006E508D"/>
    <w:rsid w:val="006F3AE9"/>
    <w:rsid w:val="006F635F"/>
    <w:rsid w:val="006F6DB2"/>
    <w:rsid w:val="006F792D"/>
    <w:rsid w:val="00703EB8"/>
    <w:rsid w:val="00704F12"/>
    <w:rsid w:val="007056B4"/>
    <w:rsid w:val="0072044D"/>
    <w:rsid w:val="00725613"/>
    <w:rsid w:val="00731FCF"/>
    <w:rsid w:val="00732C83"/>
    <w:rsid w:val="007346DA"/>
    <w:rsid w:val="00734E39"/>
    <w:rsid w:val="00736BCA"/>
    <w:rsid w:val="00747211"/>
    <w:rsid w:val="0075755B"/>
    <w:rsid w:val="00760BC3"/>
    <w:rsid w:val="00761E1C"/>
    <w:rsid w:val="00772531"/>
    <w:rsid w:val="0077362E"/>
    <w:rsid w:val="00773B91"/>
    <w:rsid w:val="00773D28"/>
    <w:rsid w:val="0077739A"/>
    <w:rsid w:val="00782483"/>
    <w:rsid w:val="00784EAB"/>
    <w:rsid w:val="007965F6"/>
    <w:rsid w:val="007A045C"/>
    <w:rsid w:val="007B279B"/>
    <w:rsid w:val="007B6105"/>
    <w:rsid w:val="007C17F3"/>
    <w:rsid w:val="007C5E8B"/>
    <w:rsid w:val="007D2219"/>
    <w:rsid w:val="007D52E2"/>
    <w:rsid w:val="007D74CC"/>
    <w:rsid w:val="007F3DE7"/>
    <w:rsid w:val="007F75F7"/>
    <w:rsid w:val="008018E7"/>
    <w:rsid w:val="00802122"/>
    <w:rsid w:val="008021A3"/>
    <w:rsid w:val="008028C1"/>
    <w:rsid w:val="00802A9D"/>
    <w:rsid w:val="008035A5"/>
    <w:rsid w:val="0081310F"/>
    <w:rsid w:val="0081480C"/>
    <w:rsid w:val="00817595"/>
    <w:rsid w:val="00827649"/>
    <w:rsid w:val="00833FA9"/>
    <w:rsid w:val="00845F71"/>
    <w:rsid w:val="0085261E"/>
    <w:rsid w:val="008531B6"/>
    <w:rsid w:val="00857D2B"/>
    <w:rsid w:val="00865410"/>
    <w:rsid w:val="008748F0"/>
    <w:rsid w:val="00875470"/>
    <w:rsid w:val="00887576"/>
    <w:rsid w:val="00887869"/>
    <w:rsid w:val="00890071"/>
    <w:rsid w:val="00892639"/>
    <w:rsid w:val="00893F1D"/>
    <w:rsid w:val="008A26B0"/>
    <w:rsid w:val="008A36AE"/>
    <w:rsid w:val="008A4FA6"/>
    <w:rsid w:val="008A600D"/>
    <w:rsid w:val="008B2255"/>
    <w:rsid w:val="008B377B"/>
    <w:rsid w:val="008B475D"/>
    <w:rsid w:val="008B77C2"/>
    <w:rsid w:val="008D1C71"/>
    <w:rsid w:val="008D1E37"/>
    <w:rsid w:val="008D24D6"/>
    <w:rsid w:val="008E104D"/>
    <w:rsid w:val="008E33DF"/>
    <w:rsid w:val="008E7678"/>
    <w:rsid w:val="008F3A35"/>
    <w:rsid w:val="00900633"/>
    <w:rsid w:val="00912E55"/>
    <w:rsid w:val="0091453E"/>
    <w:rsid w:val="00914EA5"/>
    <w:rsid w:val="00915CEB"/>
    <w:rsid w:val="0092093D"/>
    <w:rsid w:val="009310F1"/>
    <w:rsid w:val="0093559D"/>
    <w:rsid w:val="00952EDB"/>
    <w:rsid w:val="00972716"/>
    <w:rsid w:val="00983E7F"/>
    <w:rsid w:val="0098402F"/>
    <w:rsid w:val="009A0CA7"/>
    <w:rsid w:val="009A143C"/>
    <w:rsid w:val="009A32AA"/>
    <w:rsid w:val="009A725E"/>
    <w:rsid w:val="009B2FCA"/>
    <w:rsid w:val="009B468C"/>
    <w:rsid w:val="009C5327"/>
    <w:rsid w:val="009C5C4A"/>
    <w:rsid w:val="009D1DE0"/>
    <w:rsid w:val="009D62DA"/>
    <w:rsid w:val="009D769D"/>
    <w:rsid w:val="009E109E"/>
    <w:rsid w:val="009F0A30"/>
    <w:rsid w:val="009F51D8"/>
    <w:rsid w:val="00A02FDB"/>
    <w:rsid w:val="00A07854"/>
    <w:rsid w:val="00A13FF9"/>
    <w:rsid w:val="00A17451"/>
    <w:rsid w:val="00A21223"/>
    <w:rsid w:val="00A30618"/>
    <w:rsid w:val="00A337A0"/>
    <w:rsid w:val="00A41011"/>
    <w:rsid w:val="00A4325D"/>
    <w:rsid w:val="00A464BC"/>
    <w:rsid w:val="00A514D2"/>
    <w:rsid w:val="00A51A07"/>
    <w:rsid w:val="00A52E70"/>
    <w:rsid w:val="00A533C2"/>
    <w:rsid w:val="00A56BDD"/>
    <w:rsid w:val="00A5714E"/>
    <w:rsid w:val="00A74FB8"/>
    <w:rsid w:val="00A82090"/>
    <w:rsid w:val="00A82573"/>
    <w:rsid w:val="00A92F29"/>
    <w:rsid w:val="00A975B7"/>
    <w:rsid w:val="00AB73FC"/>
    <w:rsid w:val="00AC0672"/>
    <w:rsid w:val="00AE56DA"/>
    <w:rsid w:val="00AF0C02"/>
    <w:rsid w:val="00AF5EA8"/>
    <w:rsid w:val="00AF6470"/>
    <w:rsid w:val="00B02837"/>
    <w:rsid w:val="00B13545"/>
    <w:rsid w:val="00B2014D"/>
    <w:rsid w:val="00B216FE"/>
    <w:rsid w:val="00B22083"/>
    <w:rsid w:val="00B307E5"/>
    <w:rsid w:val="00B31F95"/>
    <w:rsid w:val="00B46984"/>
    <w:rsid w:val="00B62108"/>
    <w:rsid w:val="00B763E7"/>
    <w:rsid w:val="00B76BE1"/>
    <w:rsid w:val="00B77BEA"/>
    <w:rsid w:val="00B969A5"/>
    <w:rsid w:val="00BA07B8"/>
    <w:rsid w:val="00BA7DD8"/>
    <w:rsid w:val="00BB2A6E"/>
    <w:rsid w:val="00BB6A82"/>
    <w:rsid w:val="00BB7CFD"/>
    <w:rsid w:val="00BB7D2B"/>
    <w:rsid w:val="00BD11E9"/>
    <w:rsid w:val="00BD1E04"/>
    <w:rsid w:val="00BD4A0A"/>
    <w:rsid w:val="00BF2835"/>
    <w:rsid w:val="00BF3624"/>
    <w:rsid w:val="00C027D7"/>
    <w:rsid w:val="00C0592D"/>
    <w:rsid w:val="00C073F6"/>
    <w:rsid w:val="00C07663"/>
    <w:rsid w:val="00C128E7"/>
    <w:rsid w:val="00C13F1B"/>
    <w:rsid w:val="00C162D4"/>
    <w:rsid w:val="00C17FFE"/>
    <w:rsid w:val="00C24B1B"/>
    <w:rsid w:val="00C26CE4"/>
    <w:rsid w:val="00C30773"/>
    <w:rsid w:val="00C337A2"/>
    <w:rsid w:val="00C3528A"/>
    <w:rsid w:val="00C414B0"/>
    <w:rsid w:val="00C41CA4"/>
    <w:rsid w:val="00C465D9"/>
    <w:rsid w:val="00C52A9F"/>
    <w:rsid w:val="00C5722A"/>
    <w:rsid w:val="00C6079C"/>
    <w:rsid w:val="00C634DD"/>
    <w:rsid w:val="00C634E5"/>
    <w:rsid w:val="00C65C96"/>
    <w:rsid w:val="00C728B6"/>
    <w:rsid w:val="00C7342F"/>
    <w:rsid w:val="00C8241B"/>
    <w:rsid w:val="00C9134A"/>
    <w:rsid w:val="00C94455"/>
    <w:rsid w:val="00C965CD"/>
    <w:rsid w:val="00C96C50"/>
    <w:rsid w:val="00C96E5C"/>
    <w:rsid w:val="00CA2C5F"/>
    <w:rsid w:val="00CA4D80"/>
    <w:rsid w:val="00CA5FFD"/>
    <w:rsid w:val="00CA6BA4"/>
    <w:rsid w:val="00CC4D5B"/>
    <w:rsid w:val="00CD377D"/>
    <w:rsid w:val="00CE19D0"/>
    <w:rsid w:val="00CE239D"/>
    <w:rsid w:val="00CE4212"/>
    <w:rsid w:val="00CE613D"/>
    <w:rsid w:val="00CF585C"/>
    <w:rsid w:val="00D01D87"/>
    <w:rsid w:val="00D035E1"/>
    <w:rsid w:val="00D10401"/>
    <w:rsid w:val="00D150F5"/>
    <w:rsid w:val="00D15F84"/>
    <w:rsid w:val="00D25CC1"/>
    <w:rsid w:val="00D26D9D"/>
    <w:rsid w:val="00D319E7"/>
    <w:rsid w:val="00D34AB0"/>
    <w:rsid w:val="00D34C30"/>
    <w:rsid w:val="00D5183B"/>
    <w:rsid w:val="00D53955"/>
    <w:rsid w:val="00D5678F"/>
    <w:rsid w:val="00D61069"/>
    <w:rsid w:val="00D624D6"/>
    <w:rsid w:val="00D64009"/>
    <w:rsid w:val="00D77D85"/>
    <w:rsid w:val="00D83311"/>
    <w:rsid w:val="00D84C1B"/>
    <w:rsid w:val="00D862AB"/>
    <w:rsid w:val="00D876FD"/>
    <w:rsid w:val="00D91292"/>
    <w:rsid w:val="00D92425"/>
    <w:rsid w:val="00D93C60"/>
    <w:rsid w:val="00DA20AB"/>
    <w:rsid w:val="00DB2302"/>
    <w:rsid w:val="00DB298B"/>
    <w:rsid w:val="00DC7D1C"/>
    <w:rsid w:val="00DD5BB1"/>
    <w:rsid w:val="00DE7E76"/>
    <w:rsid w:val="00DF7A64"/>
    <w:rsid w:val="00DF7B10"/>
    <w:rsid w:val="00E0184E"/>
    <w:rsid w:val="00E04C4C"/>
    <w:rsid w:val="00E121DB"/>
    <w:rsid w:val="00E14D93"/>
    <w:rsid w:val="00E1668F"/>
    <w:rsid w:val="00E220BE"/>
    <w:rsid w:val="00E33F0A"/>
    <w:rsid w:val="00E347DF"/>
    <w:rsid w:val="00E34D59"/>
    <w:rsid w:val="00E35CB3"/>
    <w:rsid w:val="00E533FB"/>
    <w:rsid w:val="00E55CAA"/>
    <w:rsid w:val="00E5777E"/>
    <w:rsid w:val="00E6599F"/>
    <w:rsid w:val="00E76A20"/>
    <w:rsid w:val="00E8523A"/>
    <w:rsid w:val="00E85B82"/>
    <w:rsid w:val="00E92E7A"/>
    <w:rsid w:val="00E93168"/>
    <w:rsid w:val="00E94114"/>
    <w:rsid w:val="00E942AD"/>
    <w:rsid w:val="00EA1CBE"/>
    <w:rsid w:val="00EB3D3A"/>
    <w:rsid w:val="00EB44E1"/>
    <w:rsid w:val="00EC4DED"/>
    <w:rsid w:val="00EC79FE"/>
    <w:rsid w:val="00ED1447"/>
    <w:rsid w:val="00ED7606"/>
    <w:rsid w:val="00EE6855"/>
    <w:rsid w:val="00EF0AF5"/>
    <w:rsid w:val="00EF0B2A"/>
    <w:rsid w:val="00EF309D"/>
    <w:rsid w:val="00F048E2"/>
    <w:rsid w:val="00F14C9A"/>
    <w:rsid w:val="00F16859"/>
    <w:rsid w:val="00F17335"/>
    <w:rsid w:val="00F17A9B"/>
    <w:rsid w:val="00F27364"/>
    <w:rsid w:val="00F37C41"/>
    <w:rsid w:val="00F5239C"/>
    <w:rsid w:val="00F57C63"/>
    <w:rsid w:val="00F81053"/>
    <w:rsid w:val="00F8300C"/>
    <w:rsid w:val="00F85180"/>
    <w:rsid w:val="00F85F9E"/>
    <w:rsid w:val="00F86F6F"/>
    <w:rsid w:val="00F94B69"/>
    <w:rsid w:val="00FA6B52"/>
    <w:rsid w:val="00FA794B"/>
    <w:rsid w:val="00FC0532"/>
    <w:rsid w:val="00FC08A6"/>
    <w:rsid w:val="00FC3151"/>
    <w:rsid w:val="00FC6FED"/>
    <w:rsid w:val="00FC717C"/>
    <w:rsid w:val="00FE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14B068"/>
  <w15:docId w15:val="{1DDB9FD6-0383-4298-82CC-FDA05525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09E"/>
    <w:pPr>
      <w:suppressAutoHyphens/>
      <w:spacing w:after="8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648BB"/>
    <w:pPr>
      <w:suppressAutoHyphens w:val="0"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4E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4E3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4E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4E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4E3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E3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E3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ust">
    <w:name w:val="ust"/>
    <w:uiPriority w:val="99"/>
    <w:qFormat/>
    <w:rsid w:val="00CA4D80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2">
    <w:name w:val="WWNum2"/>
    <w:basedOn w:val="Bezlisty"/>
    <w:rsid w:val="00A533C2"/>
    <w:pPr>
      <w:numPr>
        <w:numId w:val="1"/>
      </w:numPr>
    </w:pPr>
  </w:style>
  <w:style w:type="paragraph" w:styleId="Tekstpodstawowywcity">
    <w:name w:val="Body Text Indent"/>
    <w:basedOn w:val="Normalny"/>
    <w:link w:val="TekstpodstawowywcityZnak"/>
    <w:semiHidden/>
    <w:rsid w:val="00CE19D0"/>
    <w:pPr>
      <w:suppressAutoHyphens w:val="0"/>
      <w:spacing w:after="0"/>
      <w:ind w:left="360" w:hanging="360"/>
      <w:jc w:val="left"/>
      <w:textAlignment w:val="auto"/>
    </w:pPr>
    <w:rPr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E19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F75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3949DA"/>
    <w:pPr>
      <w:suppressLineNumbers/>
      <w:spacing w:after="0"/>
      <w:jc w:val="left"/>
      <w:textAlignment w:val="auto"/>
    </w:pPr>
    <w:rPr>
      <w:sz w:val="20"/>
      <w:lang w:eastAsia="pl-PL"/>
    </w:rPr>
  </w:style>
  <w:style w:type="character" w:customStyle="1" w:styleId="normaltextrun">
    <w:name w:val="normaltextrun"/>
    <w:basedOn w:val="Domylnaczcionkaakapitu"/>
    <w:rsid w:val="00972716"/>
  </w:style>
  <w:style w:type="character" w:customStyle="1" w:styleId="eop">
    <w:name w:val="eop"/>
    <w:basedOn w:val="Domylnaczcionkaakapitu"/>
    <w:rsid w:val="00972716"/>
  </w:style>
  <w:style w:type="paragraph" w:styleId="Nagwek">
    <w:name w:val="header"/>
    <w:basedOn w:val="Normalny"/>
    <w:link w:val="NagwekZnak"/>
    <w:uiPriority w:val="99"/>
    <w:unhideWhenUsed/>
    <w:rsid w:val="00D84C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84C1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84C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84C1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E347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347DF"/>
    <w:pPr>
      <w:spacing w:after="0" w:line="240" w:lineRule="auto"/>
    </w:pPr>
    <w:rPr>
      <w:lang w:val="en-US"/>
    </w:rPr>
    <w:tblPr/>
  </w:style>
  <w:style w:type="paragraph" w:styleId="Bezodstpw">
    <w:name w:val="No Spacing"/>
    <w:uiPriority w:val="1"/>
    <w:qFormat/>
    <w:rsid w:val="00E347DF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E347D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957013B84D5B4DB99473FB131143B5" ma:contentTypeVersion="3" ma:contentTypeDescription="Utwórz nowy dokument." ma:contentTypeScope="" ma:versionID="1e1474656025cb7b3482d30e463dfe64">
  <xsd:schema xmlns:xsd="http://www.w3.org/2001/XMLSchema" xmlns:xs="http://www.w3.org/2001/XMLSchema" xmlns:p="http://schemas.microsoft.com/office/2006/metadata/properties" xmlns:ns2="944fcc33-66d5-4af9-a52d-ddf322056c93" targetNamespace="http://schemas.microsoft.com/office/2006/metadata/properties" ma:root="true" ma:fieldsID="d1664abcb5d97c10e542737cad4a0f6d" ns2:_="">
    <xsd:import namespace="944fcc33-66d5-4af9-a52d-ddf322056c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4fcc33-66d5-4af9-a52d-ddf322056c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85726-85E1-4ED3-BA60-8D6C0492FB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E831B2-D289-49E6-B707-56F59A3D0E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6B4B7A-6140-4B7B-BBB3-E197042F7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4fcc33-66d5-4af9-a52d-ddf322056c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C1B593-6589-4C5F-8245-BB1434229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3223</Words>
  <Characters>19344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Oleszko</dc:creator>
  <cp:keywords/>
  <dc:description/>
  <cp:lastModifiedBy>user</cp:lastModifiedBy>
  <cp:revision>2</cp:revision>
  <cp:lastPrinted>2023-08-28T06:48:00Z</cp:lastPrinted>
  <dcterms:created xsi:type="dcterms:W3CDTF">2025-12-05T13:39:00Z</dcterms:created>
  <dcterms:modified xsi:type="dcterms:W3CDTF">2025-12-05T13:39:00Z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0x01010039957013B84D5B4DB99473FB131143B5</vt:lpwstr>
  </property>
</Properties>
</file>